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lang w:val="en-US" w:eastAsia="zh-CN"/>
          <w14:textFill>
            <w14:solidFill>
              <w14:schemeClr w14:val="tx1"/>
            </w14:solidFill>
          </w14:textFill>
        </w:rPr>
        <w:t>新疆乌鲁木齐县统计局</w:t>
      </w:r>
      <w:r>
        <w:rPr>
          <w:rFonts w:hint="eastAsia" w:ascii="方正小标宋_GBK" w:hAnsi="宋体" w:eastAsia="方正小标宋_GBK"/>
          <w:color w:val="000000" w:themeColor="text1"/>
          <w:sz w:val="44"/>
          <w:szCs w:val="44"/>
          <w:highlight w:val="none"/>
          <w14:textFill>
            <w14:solidFill>
              <w14:schemeClr w14:val="tx1"/>
            </w14:solidFill>
          </w14:textFill>
        </w:rPr>
        <w:t>2020年度部门决算</w:t>
      </w: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14:textFill>
            <w14:solidFill>
              <w14:schemeClr w14:val="tx1"/>
            </w14:solidFill>
          </w14:textFill>
        </w:rPr>
        <w:t>公开说明</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14:textFill>
            <w14:solidFill>
              <w14:schemeClr w14:val="tx1"/>
            </w14:solidFill>
          </w14:textFill>
        </w:rPr>
        <w:br w:type="page"/>
      </w:r>
      <w:r>
        <w:rPr>
          <w:rFonts w:hint="eastAsia" w:ascii="仿宋_GB2312" w:hAnsi="仿宋_GB2312" w:eastAsia="仿宋_GB2312" w:cs="仿宋_GB2312"/>
          <w:b/>
          <w:bCs w:val="0"/>
          <w:color w:val="000000" w:themeColor="text1"/>
          <w:kern w:val="0"/>
          <w:sz w:val="36"/>
          <w:szCs w:val="36"/>
          <w:highlight w:val="none"/>
          <w14:textFill>
            <w14:solidFill>
              <w14:schemeClr w14:val="tx1"/>
            </w14:solidFill>
          </w14:textFill>
        </w:rPr>
        <w:t>目  录</w:t>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TOC \o "1-3" \n  \h \u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_Toc32314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第一部分 部门单位概况</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_Toc30567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一、主要职能</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_Toc2151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二、机构设置</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及人员</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_Toc29374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第二部分 部门决算情况说明</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_Toc25314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一、收入支出决算总体情况说明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_Toc12142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收入</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决算</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_Toc13201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三、支出决算情况说明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_Toc26564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四、财政拨款收入支出决算总体情况说明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_Toc20360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五、一般公共预算财政拨款支出决算情况说明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_Toc30870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六、一般公共预算财政拨款基本支出决算情况说明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_Toc21518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七</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、一般公共预算</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财政拨款</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“三公”经费支出</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决算</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_Toc5810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八、政府性基金预算财政拨款收入支出决算情况说明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rPr>
          <w:rFonts w:hint="eastAsia"/>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_Toc5810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九、国有资本经营预算财政拨款收入支出决算情况说明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_Toc1235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、其他重要事项的情况</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_Toc14519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机关运行经费支出情况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_Toc227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（二）政府采购情况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_Toc8391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（三）国有资产占用情况说明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_Toc11283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十一、预算绩效的情况说明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_Toc3250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第三部分 专业名词解释</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_Toc22784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第四部分 部门决算报表（见附表）</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_Toc2183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一、《收入支出决算总表》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_Toc24532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二、《收入决算表》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_Toc32434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三、《支出决算表》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_Toc28786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四、《财政拨款收入支出决算总表》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_Toc14869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五、《一般公共预算财政拨款支出决算表》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_Toc8884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六、《一般公共预算财政拨款基本支出决算表》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_Toc29106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七、《一般公共预算财政拨款“三公”经费支出决算表》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instrText xml:space="preserve"> HYPERLINK \l _Toc7643 </w:instrTex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八、《政府性基金预算财政拨款收入支出决算表》</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九、《国有资本经营</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预算财政拨款收入支出决算表</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br w:type="page"/>
      </w:r>
      <w:bookmarkStart w:id="0" w:name="_Toc32314"/>
      <w:bookmarkStart w:id="1" w:name="_Toc24028"/>
      <w:r>
        <w:rPr>
          <w:rFonts w:hint="eastAsia" w:ascii="黑体" w:hAnsi="黑体" w:eastAsia="黑体"/>
          <w:color w:val="000000" w:themeColor="text1"/>
          <w:sz w:val="32"/>
          <w:szCs w:val="32"/>
          <w:highlight w:val="none"/>
          <w14:textFill>
            <w14:solidFill>
              <w14:schemeClr w14:val="tx1"/>
            </w14:solidFill>
          </w14:textFill>
        </w:rPr>
        <w:t>第一部分 部门单位概况</w:t>
      </w:r>
      <w:bookmarkEnd w:id="0"/>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ascii="黑体" w:hAnsi="黑体" w:eastAsia="黑体" w:cs="宋体"/>
          <w:bCs/>
          <w:color w:val="000000" w:themeColor="text1"/>
          <w:kern w:val="0"/>
          <w:sz w:val="32"/>
          <w:szCs w:val="32"/>
          <w:highlight w:val="none"/>
          <w14:textFill>
            <w14:solidFill>
              <w14:schemeClr w14:val="tx1"/>
            </w14:solidFill>
          </w14:textFill>
        </w:rPr>
      </w:pPr>
      <w:bookmarkStart w:id="2" w:name="_Toc30738"/>
      <w:bookmarkStart w:id="3" w:name="_Toc30567"/>
      <w:r>
        <w:rPr>
          <w:rFonts w:hint="eastAsia" w:ascii="黑体" w:hAnsi="黑体" w:eastAsia="黑体" w:cs="宋体"/>
          <w:bCs/>
          <w:color w:val="000000" w:themeColor="text1"/>
          <w:kern w:val="0"/>
          <w:sz w:val="32"/>
          <w:szCs w:val="32"/>
          <w:highlight w:val="none"/>
          <w14:textFill>
            <w14:solidFill>
              <w14:schemeClr w14:val="tx1"/>
            </w14:solidFill>
          </w14:textFill>
        </w:rPr>
        <w:t>一、主要职能</w:t>
      </w:r>
      <w:bookmarkEnd w:id="2"/>
      <w:bookmarkEnd w:id="3"/>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1.贯彻执行国家、自治区、乌鲁木齐市和我县有关统计工作的方针、政策和法律、法规。</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2.承担组织、领导和和协调全县统计工作，确保统计数据真实、准确、及时的责任。</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3.建立健全全县国民经济核算体系，组织实施国民经济核算制度。</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4.负责全县农林牧渔业、工业、交通运输、邮电、固定资产投资、建筑业、房地产业、批发和零售业、住宿和餐饮业、金融业的统计调查。</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5.负责能源、投资、人口、劳动力、社会发展基本情况、环境基本状况的统计调查；收集、汇总、整理和提供有关调查的统计数据。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 w:name="_Toc31238"/>
      <w:bookmarkStart w:id="5" w:name="_Toc2151"/>
      <w:r>
        <w:rPr>
          <w:rFonts w:hint="eastAsia" w:ascii="黑体" w:hAnsi="黑体" w:eastAsia="黑体" w:cs="宋体"/>
          <w:bCs/>
          <w:color w:val="000000" w:themeColor="text1"/>
          <w:kern w:val="0"/>
          <w:sz w:val="32"/>
          <w:szCs w:val="32"/>
          <w:highlight w:val="none"/>
          <w14:textFill>
            <w14:solidFill>
              <w14:schemeClr w14:val="tx1"/>
            </w14:solidFill>
          </w14:textFill>
        </w:rPr>
        <w:t>二、机构设置</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及</w:t>
      </w:r>
      <w:bookmarkEnd w:id="4"/>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人员</w:t>
      </w:r>
      <w:r>
        <w:rPr>
          <w:rFonts w:hint="eastAsia" w:ascii="黑体" w:hAnsi="黑体" w:eastAsia="黑体" w:cs="宋体"/>
          <w:bCs/>
          <w:color w:val="000000" w:themeColor="text1"/>
          <w:kern w:val="0"/>
          <w:sz w:val="32"/>
          <w:szCs w:val="32"/>
          <w:highlight w:val="none"/>
          <w14:textFill>
            <w14:solidFill>
              <w14:schemeClr w14:val="tx1"/>
            </w14:solidFill>
          </w14:textFill>
        </w:rPr>
        <w:t>情况</w:t>
      </w:r>
      <w:bookmarkEnd w:id="5"/>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新疆乌鲁木齐县统计局2020年度，实有人数13人，其中：在职人员7人，离休人员0人，退休人员6人。</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从部门决算单位构成看，新疆乌鲁木齐县统计局部门决算包括：新疆乌鲁木齐县统计局决算。单位无下属预算单位，下设1个处室，分别是：</w:t>
      </w:r>
      <w:r>
        <w:rPr>
          <w:rFonts w:hint="eastAsia" w:ascii="仿宋_GB2312" w:hAnsi="黑体" w:eastAsia="仿宋_GB2312" w:cs="宋体"/>
          <w:bCs/>
          <w:color w:val="000000" w:themeColor="text1"/>
          <w:kern w:val="0"/>
          <w:sz w:val="32"/>
          <w:szCs w:val="32"/>
          <w:highlight w:val="none"/>
          <w14:textFill>
            <w14:solidFill>
              <w14:schemeClr w14:val="tx1"/>
            </w14:solidFill>
          </w14:textFill>
        </w:rPr>
        <w:t>统计普查中心</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left="1680" w:leftChars="0" w:firstLine="420" w:firstLineChars="0"/>
        <w:jc w:val="both"/>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部门决算情况说明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6" w:name="_Toc12566"/>
      <w:bookmarkStart w:id="7" w:name="_Toc25314"/>
      <w:r>
        <w:rPr>
          <w:rFonts w:hint="eastAsia" w:ascii="黑体" w:hAnsi="黑体" w:eastAsia="黑体" w:cs="宋体"/>
          <w:bCs/>
          <w:color w:val="000000" w:themeColor="text1"/>
          <w:kern w:val="0"/>
          <w:sz w:val="32"/>
          <w:szCs w:val="32"/>
          <w:highlight w:val="none"/>
          <w14:textFill>
            <w14:solidFill>
              <w14:schemeClr w14:val="tx1"/>
            </w14:solidFill>
          </w14:textFill>
        </w:rPr>
        <w:t>一、收入支出决算总体情况说明</w:t>
      </w:r>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 w:val="0"/>
          <w:bCs w:val="0"/>
          <w:color w:val="000000" w:themeColor="text1"/>
          <w:sz w:val="32"/>
          <w:szCs w:val="32"/>
          <w:highlight w:val="none"/>
          <w:lang w:eastAsia="zh-CN"/>
          <w14:textFill>
            <w14:solidFill>
              <w14:schemeClr w14:val="tx1"/>
            </w14:solidFill>
          </w14:textFill>
        </w:rPr>
      </w:pPr>
      <w:r>
        <w:rPr>
          <w:rFonts w:hint="eastAsia" w:ascii="仿宋_GB2312" w:eastAsia="仿宋_GB2312"/>
          <w:b w:val="0"/>
          <w:bCs w:val="0"/>
          <w:color w:val="000000" w:themeColor="text1"/>
          <w:spacing w:val="0"/>
          <w:sz w:val="32"/>
          <w:szCs w:val="32"/>
          <w:highlight w:val="none"/>
          <w:lang w:val="en-US" w:eastAsia="zh-CN"/>
          <w14:textFill>
            <w14:solidFill>
              <w14:schemeClr w14:val="tx1"/>
            </w14:solidFill>
          </w14:textFill>
        </w:rPr>
        <w:t>2020年度本年收入151.04万元，与上年相比，减少47.26万元，降低23.83%</w:t>
      </w:r>
      <w:r>
        <w:rPr>
          <w:rFonts w:hint="eastAsia" w:ascii="仿宋_GB2312" w:eastAsia="仿宋_GB2312"/>
          <w:b w:val="0"/>
          <w:bCs w:val="0"/>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1、疫情原因耽误正常工2、节约开支，减少不必要的支出</w:t>
      </w:r>
      <w:r>
        <w:rPr>
          <w:rFonts w:hint="eastAsia" w:ascii="仿宋_GB2312" w:eastAsia="仿宋_GB2312"/>
          <w:b w:val="0"/>
          <w:bCs w:val="0"/>
          <w:color w:val="000000" w:themeColor="text1"/>
          <w:sz w:val="32"/>
          <w:szCs w:val="32"/>
          <w:highlight w:val="none"/>
          <w:lang w:eastAsia="zh-CN"/>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本年支出153.65万元，与上年相比，减少48.74万元，降低24.08%</w:t>
      </w:r>
      <w:r>
        <w:rPr>
          <w:rFonts w:hint="eastAsia" w:ascii="仿宋_GB2312" w:eastAsia="仿宋_GB2312"/>
          <w:b w:val="0"/>
          <w:bCs w:val="0"/>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1、疫情原因耽误正常工2、节约开支，减少不必要的支出</w:t>
      </w:r>
      <w:r>
        <w:rPr>
          <w:rFonts w:hint="eastAsia" w:ascii="仿宋_GB2312" w:eastAsia="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8" w:name="_Toc1979"/>
      <w:bookmarkStart w:id="9" w:name="_Toc12142"/>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二、</w:t>
      </w:r>
      <w:r>
        <w:rPr>
          <w:rFonts w:hint="eastAsia" w:ascii="黑体" w:hAnsi="黑体" w:eastAsia="黑体" w:cs="宋体"/>
          <w:bCs/>
          <w:color w:val="000000" w:themeColor="text1"/>
          <w:kern w:val="0"/>
          <w:sz w:val="32"/>
          <w:szCs w:val="32"/>
          <w:highlight w:val="none"/>
          <w14:textFill>
            <w14:solidFill>
              <w14:schemeClr w14:val="tx1"/>
            </w14:solidFill>
          </w14:textFill>
        </w:rPr>
        <w:t>收入</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决算</w:t>
      </w:r>
      <w:r>
        <w:rPr>
          <w:rFonts w:hint="eastAsia" w:ascii="黑体" w:hAnsi="黑体" w:eastAsia="黑体" w:cs="宋体"/>
          <w:bCs/>
          <w:color w:val="000000" w:themeColor="text1"/>
          <w:kern w:val="0"/>
          <w:sz w:val="32"/>
          <w:szCs w:val="32"/>
          <w:highlight w:val="none"/>
          <w14:textFill>
            <w14:solidFill>
              <w14:schemeClr w14:val="tx1"/>
            </w14:solidFill>
          </w14:textFill>
        </w:rPr>
        <w:t>情况说明</w:t>
      </w:r>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本年收入151.04万元，其中：财政拨款收入134.20万元，占88.85%；上级补助收入0.00万元，占0.00%；事业收入0.00万元，占0.00%；经营收入0.00万元，占0.00%；附属单位上缴收入0.00万元，占0.00%；其他收入16.84万元，占11.15%。</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0" w:name="_Toc13201"/>
      <w:bookmarkStart w:id="11" w:name="_Toc27961"/>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三、支出决算情况说明</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2020年度本年支出153.65万元，其中：基本支出123.58万元，占80.43%；项目支出30.07万元，占19.57%；上缴上级支出0.00万元，占0.00%；经营支出0.00万元，占0.00%；对附属单位补助支出0.00万元，占0.00%。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2" w:name="_Toc4393"/>
      <w:bookmarkStart w:id="13" w:name="_Toc26564"/>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四、财政拨款收入支出决算总体情况说明</w:t>
      </w:r>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2020年度财政拨款收入134.20万元，与上年相比，减少52.00万元，降低27.93%</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1、疫情原因耽误正常工2、节约开支，减少不必要的支出</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财政拨款支出146.92万元，与上年相比，减少49.23万元，降低25.10%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1、疫情原因耽误正常工2、节约开支，减少不必要的支出</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与年初预算数相比情况：财政拨款收入年初预算数107.22万元，决算数134.20万元，预决算差异率25.16%</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在预算执行过程中追加了项目资金</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财政拨款支出年初预算数107.22万元，决算数146.92万元，预决算差异率37.03%</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在预算执行过程中追加了项目资金</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4" w:name="_Toc20360"/>
      <w:bookmarkStart w:id="15" w:name="_Toc13833"/>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五、一般公共预算财政拨款支出决算情况说明</w:t>
      </w:r>
      <w:bookmarkEnd w:id="14"/>
      <w:bookmarkEnd w:id="1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2020年度一般公共预算财政拨款支出146.92万元。按功能分类科目项级科目公开，其中：</w:t>
      </w:r>
    </w:p>
    <w:p>
      <w:pPr>
        <w:keepNext w:val="0"/>
        <w:keepLines w:val="0"/>
        <w:pageBreakBefore w:val="0"/>
        <w:widowControl w:val="0"/>
        <w:kinsoku/>
        <w:wordWrap/>
        <w:overflowPunct/>
        <w:topLinePunct w:val="0"/>
        <w:bidi w:val="0"/>
        <w:adjustRightInd/>
        <w:snapToGrid/>
        <w:spacing w:line="240" w:lineRule="auto"/>
        <w:textAlignment w:val="auto"/>
        <w:rPr>
          <w:rFonts w:hint="default" w:ascii="仿宋_GB2312" w:eastAsia="仿宋_GB2312"/>
          <w:b/>
          <w:bCs/>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2010501 行政运行54.83万元;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2010507 专项普查活动5.60万元;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2010550 事业运行60.30万元;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2010599 其他统计信息事务支出4.00万元;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2080505 机关事业单位基本养老保险缴费支出8.45万元;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2299901 其他支出13.74万元</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6" w:name="_Toc30870"/>
      <w:bookmarkStart w:id="17" w:name="_Toc11146"/>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六、一般公共预算财政拨款基本支出决算情况说明</w:t>
      </w:r>
      <w:bookmarkEnd w:id="16"/>
      <w:bookmarkEnd w:id="1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2020年度一般公共预算财政拨款基本支出123.58万元，其中：</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人员经费112.75万元，包括：基本工资、津贴补贴、奖金、机关事业单位基本养老保险缴费、职工基本医疗保险缴费、公务员医疗补助缴费、其他社会保障缴费、住房公积金、退休费。</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公用经费10.83万元，包括：办公费、公务接待费、工会经费、福利费、公务用车运行维护费、其他商品和服务支出。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8" w:name="_Toc21518"/>
      <w:bookmarkStart w:id="19" w:name="_Toc7190"/>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七</w:t>
      </w:r>
      <w:r>
        <w:rPr>
          <w:rFonts w:hint="eastAsia" w:ascii="黑体" w:hAnsi="黑体" w:eastAsia="黑体" w:cs="宋体"/>
          <w:bCs/>
          <w:color w:val="000000" w:themeColor="text1"/>
          <w:kern w:val="0"/>
          <w:sz w:val="32"/>
          <w:szCs w:val="32"/>
          <w:highlight w:val="none"/>
          <w14:textFill>
            <w14:solidFill>
              <w14:schemeClr w14:val="tx1"/>
            </w14:solidFill>
          </w14:textFill>
        </w:rPr>
        <w:t>、一般公共预算</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财政拨款</w:t>
      </w:r>
      <w:r>
        <w:rPr>
          <w:rFonts w:hint="eastAsia" w:ascii="黑体" w:hAnsi="黑体" w:eastAsia="黑体" w:cs="宋体"/>
          <w:bCs/>
          <w:color w:val="000000" w:themeColor="text1"/>
          <w:kern w:val="0"/>
          <w:sz w:val="32"/>
          <w:szCs w:val="32"/>
          <w:highlight w:val="none"/>
          <w14:textFill>
            <w14:solidFill>
              <w14:schemeClr w14:val="tx1"/>
            </w14:solidFill>
          </w14:textFill>
        </w:rPr>
        <w:t>“三公”经费支出</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决算</w:t>
      </w:r>
      <w:r>
        <w:rPr>
          <w:rFonts w:hint="eastAsia" w:ascii="黑体" w:hAnsi="黑体" w:eastAsia="黑体" w:cs="宋体"/>
          <w:bCs/>
          <w:color w:val="000000" w:themeColor="text1"/>
          <w:kern w:val="0"/>
          <w:sz w:val="32"/>
          <w:szCs w:val="32"/>
          <w:highlight w:val="none"/>
          <w14:textFill>
            <w14:solidFill>
              <w14:schemeClr w14:val="tx1"/>
            </w14:solidFill>
          </w14:textFill>
        </w:rPr>
        <w:t>情况</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说明</w:t>
      </w:r>
      <w:bookmarkEnd w:id="18"/>
      <w:bookmarkEnd w:id="1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2020年度一般公共预算“三公”经费支出决算7.45万元，比上年减少0.95万元，降低11.31%</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严格执行八项规定，压减经费支出</w:t>
      </w:r>
      <w:r>
        <w:rPr>
          <w:rFonts w:hint="eastAsia" w:ascii="仿宋_GB2312" w:eastAsia="仿宋_GB2312"/>
          <w:color w:val="000000" w:themeColor="text1"/>
          <w:sz w:val="32"/>
          <w:szCs w:val="32"/>
          <w:highlight w:val="none"/>
          <w:lang w:val="en-US" w:eastAsia="zh-CN"/>
          <w14:textFill>
            <w14:solidFill>
              <w14:schemeClr w14:val="tx1"/>
            </w14:solidFill>
          </w14:textFill>
        </w:rPr>
        <w:t>。其中，因公出国（境）费支出0.00万元，占0.00%，比上年增加0.00万元，增长0.00%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公务用车购置及运行维护费支出7.41万元，占99.46%，比上年减少0.99万元，降低11.79%</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严格执行八项规定，压减经费支出</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公务接待费支出0.04万元，占0.54%，比上年增加0.04万元，增长100.00%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本年度接待上级单位检查，经费增加</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具体情况如下：</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因公出国（境）费支出0.00万元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单位全年安排的因公出国（境）团组0个，因公出国（境）0人次。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公务用车购置及运行维护费7.41万元，其中，公务用车购置费0.00万元，公务用车运行维护费7.41万元。</w:t>
      </w:r>
      <w:r>
        <w:rPr>
          <w:rFonts w:hint="eastAsia" w:ascii="仿宋_GB2312" w:eastAsia="仿宋_GB2312"/>
          <w:color w:val="000000" w:themeColor="text1"/>
          <w:sz w:val="32"/>
          <w:szCs w:val="32"/>
          <w:highlight w:val="none"/>
          <w14:textFill>
            <w14:solidFill>
              <w14:schemeClr w14:val="tx1"/>
            </w14:solidFill>
          </w14:textFill>
        </w:rPr>
        <w:t>公务用车运行维护费开支内容包括</w:t>
      </w:r>
      <w:r>
        <w:rPr>
          <w:rFonts w:hint="eastAsia" w:ascii="仿宋_GB2312" w:eastAsia="仿宋_GB2312"/>
          <w:color w:val="000000" w:themeColor="text1"/>
          <w:sz w:val="32"/>
          <w:szCs w:val="32"/>
          <w:highlight w:val="none"/>
          <w:lang w:val="en-US" w:eastAsia="zh-CN"/>
          <w14:textFill>
            <w14:solidFill>
              <w14:schemeClr w14:val="tx1"/>
            </w14:solidFill>
          </w14:textFill>
        </w:rPr>
        <w:t>车辆维护费，燃油费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公务用车购置数0辆，公务用车保有量2辆。</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公务接待费0.04万元</w:t>
      </w:r>
      <w:r>
        <w:rPr>
          <w:rFonts w:hint="eastAsia" w:ascii="仿宋_GB2312" w:eastAsia="仿宋_GB2312"/>
          <w:color w:val="000000" w:themeColor="text1"/>
          <w:sz w:val="32"/>
          <w:szCs w:val="32"/>
          <w:highlight w:val="none"/>
          <w14:textFill>
            <w14:solidFill>
              <w14:schemeClr w14:val="tx1"/>
            </w14:solidFill>
          </w14:textFill>
        </w:rPr>
        <w:t>，开支内容包括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接待就餐费支出</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单位全年安排的国内公务接待1批次，15人次。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与年初预算数相比情况：一般公共预算“三公”经费支出年初预算数8.86万元，决算数7.45万元，预决算差异率-15.91%</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严格执行八项规定，压减经费支出</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其中：因公出国（境）费预算数0.00万元，决算数0.00万元，预决算差异率0.00%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公务用车购置费预算数0.00万元，决算数0.00万元，预决算差异率0.00%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我单位无公务用车购置费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公务用车运行费预算数8.40万元，决算数7.41万元，预决算差异率-11.79%</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严格执行八项规定，压减经费支出</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公务接待费预算数0.46万元，决算数0.04万元，预决算差异率-91.30%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严格执行八项规定，压减经费支出</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20" w:name="_Toc5810"/>
      <w:bookmarkStart w:id="21" w:name="_Toc7927"/>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八、政府性基金预算收入支出决算情况说明</w:t>
      </w:r>
      <w:bookmarkEnd w:id="20"/>
      <w:bookmarkEnd w:id="2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我单位本年度无政府性基金预算财政拨款收入支出，政府性基金预算财政拨款收入支出决算表为空表。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九、国有资本经营预算财政拨款收入支出决算情况说明</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我单位本年度无国有资本经营预算财政拨款收入支出，国有资本经营预算财政拨款收入支出决算表为空表。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22" w:name="_Toc1235"/>
      <w:bookmarkStart w:id="23" w:name="_Toc7314"/>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十</w:t>
      </w:r>
      <w:r>
        <w:rPr>
          <w:rFonts w:hint="eastAsia" w:ascii="黑体" w:hAnsi="黑体" w:eastAsia="黑体" w:cs="宋体"/>
          <w:bCs/>
          <w:color w:val="000000" w:themeColor="text1"/>
          <w:kern w:val="0"/>
          <w:sz w:val="32"/>
          <w:szCs w:val="32"/>
          <w:highlight w:val="none"/>
          <w14:textFill>
            <w14:solidFill>
              <w14:schemeClr w14:val="tx1"/>
            </w14:solidFill>
          </w14:textFill>
        </w:rPr>
        <w:t>、其他重要事项的情况</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说明</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14:textFill>
            <w14:solidFill>
              <w14:schemeClr w14:val="tx1"/>
            </w14:solidFill>
          </w14:textFill>
        </w:rPr>
      </w:pPr>
      <w:bookmarkStart w:id="24" w:name="_Toc13105"/>
      <w:bookmarkStart w:id="25" w:name="_Toc14519"/>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机关运行经费支出情况</w:t>
      </w:r>
      <w:bookmarkEnd w:id="24"/>
      <w:bookmarkEnd w:id="2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2020年度新疆乌鲁木齐县统计局（行政单位和参照公务员法管理事业单位）机关运行经费支出10.83万元，比上年减少2.06万元，降低15.98%</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严格执行八项规定，压减经费支出</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lang w:eastAsia="zh-CN"/>
          <w14:textFill>
            <w14:solidFill>
              <w14:schemeClr w14:val="tx1"/>
            </w14:solidFill>
          </w14:textFill>
        </w:rPr>
      </w:pPr>
      <w:bookmarkStart w:id="26" w:name="_Toc26704"/>
      <w:bookmarkStart w:id="27" w:name="_Toc227"/>
      <w:r>
        <w:rPr>
          <w:rFonts w:hint="eastAsia" w:ascii="黑体" w:hAnsi="黑体" w:eastAsia="黑体"/>
          <w:color w:val="000000" w:themeColor="text1"/>
          <w:sz w:val="32"/>
          <w:szCs w:val="32"/>
          <w:highlight w:val="none"/>
          <w:lang w:eastAsia="zh-CN"/>
          <w14:textFill>
            <w14:solidFill>
              <w14:schemeClr w14:val="tx1"/>
            </w14:solidFill>
          </w14:textFill>
        </w:rPr>
        <w:t>（二）政府采购情况</w:t>
      </w:r>
      <w:bookmarkEnd w:id="26"/>
      <w:bookmarkEnd w:id="2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2020年度政府采购支出总额7.28万元，其中：政府采购货物支出4.91万元、政府采购工程支出0.00万元、政府采购服务支出2.37万元。</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bookmarkStart w:id="28" w:name="_Toc8391"/>
      <w:bookmarkStart w:id="29" w:name="_Toc4591"/>
      <w:r>
        <w:rPr>
          <w:rFonts w:hint="eastAsia" w:ascii="仿宋_GB2312" w:eastAsia="仿宋_GB2312"/>
          <w:color w:val="000000" w:themeColor="text1"/>
          <w:spacing w:val="0"/>
          <w:sz w:val="32"/>
          <w:szCs w:val="32"/>
          <w:highlight w:val="none"/>
          <w:lang w:val="en-US" w:eastAsia="zh-CN"/>
          <w14:textFill>
            <w14:solidFill>
              <w14:schemeClr w14:val="tx1"/>
            </w14:solidFill>
          </w14:textFill>
        </w:rPr>
        <w:t>授予中小企业合同金额7.28万元，占政府采购支出总额的100%，其中：授予小微企业合同金额7.28万元，占政府采购支出总额的100.00%。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（三）国有资产占用情况说明</w:t>
      </w:r>
      <w:bookmarkEnd w:id="28"/>
      <w:bookmarkEnd w:id="2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截止2020年12月31日，单位共有房屋0.00（平方米），价值0.00万元。车辆2辆，价值36.90万元，其中：副部（省）级及以上领导用车0辆、主要领导干部用车1辆、机要通信用车0辆、应急保障用车0辆、执法执勤用车0辆、特种专业技术用车0辆、离退休干部用车0辆、其他用车1辆</w:t>
      </w:r>
      <w:r>
        <w:rPr>
          <w:rFonts w:hint="eastAsia" w:ascii="仿宋_GB2312" w:eastAsia="仿宋_GB2312"/>
          <w:color w:val="000000" w:themeColor="text1"/>
          <w:sz w:val="32"/>
          <w:szCs w:val="32"/>
          <w:highlight w:val="none"/>
          <w14:textFill>
            <w14:solidFill>
              <w14:schemeClr w14:val="tx1"/>
            </w14:solidFill>
          </w14:textFill>
        </w:rPr>
        <w:t>，其他用车主要是：</w:t>
      </w:r>
      <w:r>
        <w:rPr>
          <w:rFonts w:hint="eastAsia" w:ascii="仿宋_GB2312" w:eastAsia="仿宋_GB2312"/>
          <w:color w:val="000000" w:themeColor="text1"/>
          <w:sz w:val="32"/>
          <w:szCs w:val="32"/>
          <w:highlight w:val="none"/>
          <w:lang w:val="en-US" w:eastAsia="zh-CN"/>
          <w14:textFill>
            <w14:solidFill>
              <w14:schemeClr w14:val="tx1"/>
            </w14:solidFill>
          </w14:textFill>
        </w:rPr>
        <w:t>一般公务用车</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30" w:name="_Toc11283"/>
      <w:bookmarkStart w:id="31" w:name="_Toc435"/>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十一、预算绩效的情况说明</w:t>
      </w:r>
      <w:bookmarkEnd w:id="30"/>
      <w:bookmarkEnd w:id="3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根据预算绩效管理要求，我单位</w:t>
      </w:r>
      <w:r>
        <w:rPr>
          <w:rFonts w:hint="eastAsia" w:ascii="仿宋_GB2312" w:eastAsia="仿宋_GB2312"/>
          <w:color w:val="000000" w:themeColor="text1"/>
          <w:sz w:val="32"/>
          <w:szCs w:val="32"/>
          <w:highlight w:val="none"/>
          <w:lang w:val="en-US" w:eastAsia="zh-CN"/>
          <w14:textFill>
            <w14:solidFill>
              <w14:schemeClr w14:val="tx1"/>
            </w14:solidFill>
          </w14:textFill>
        </w:rPr>
        <w:t>2020</w:t>
      </w:r>
      <w:r>
        <w:rPr>
          <w:rFonts w:hint="eastAsia" w:ascii="仿宋_GB2312" w:eastAsia="仿宋_GB2312"/>
          <w:color w:val="000000" w:themeColor="text1"/>
          <w:sz w:val="32"/>
          <w:szCs w:val="32"/>
          <w:highlight w:val="none"/>
          <w:lang w:eastAsia="zh-CN"/>
          <w14:textFill>
            <w14:solidFill>
              <w14:schemeClr w14:val="tx1"/>
            </w14:solidFill>
          </w14:textFill>
        </w:rPr>
        <w:t>年度开展预算绩效评价项目</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个，共涉及资金</w:t>
      </w:r>
      <w:r>
        <w:rPr>
          <w:rFonts w:hint="eastAsia" w:ascii="仿宋_GB2312" w:eastAsia="仿宋_GB2312"/>
          <w:color w:val="000000" w:themeColor="text1"/>
          <w:sz w:val="32"/>
          <w:szCs w:val="32"/>
          <w:highlight w:val="none"/>
          <w:lang w:val="en-US" w:eastAsia="zh-CN"/>
          <w14:textFill>
            <w14:solidFill>
              <w14:schemeClr w14:val="tx1"/>
            </w14:solidFill>
          </w14:textFill>
        </w:rPr>
        <w:t>4</w:t>
      </w:r>
      <w:bookmarkStart w:id="52" w:name="_GoBack"/>
      <w:bookmarkEnd w:id="52"/>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预算绩效管理取得的成效：一是组织管理全县统计调查项目，地方统计调查项目，并做好备案工作；指导乡镇、管委会和部门做好统计业务基础工作，加强统计基层基础建设；建立健全统计数据质量审核、监控和评估制度，并做好对重要统计数据的审核、监控和评估工作，依法监督管理涉外统计调查活动；二是发挥好印制年鉴的工作效益；三是执行好项目绩效工作，就是保障普查工作开展的顺利。发现的问题及原因：一是绩效监控工作组织管理中存在的问题是整体绩效监控开展工作并没有太长的历史，单位整体绩效监控机构中组长、副组长对自己的明确分工还是一个逐步认知的过程，会计又是集中核算会计，会计和报账员都没有起到及时告知组长、副组长整体绩效执行情况，有时候存在了解情况延误，影响后期整体绩效的督办和落实；二是报账员手头工作多，繁杂，没有太多精力去梳理整体绩效监控工作的开展情况，汇报不及时。下一步改进措施：一是根据我单位在2020年的财政整体绩效支出的进度来看，我单位绩效监控机构的组长、副组长对上半年绩效监控工作虽执行了监督的作用，但是还是没有发挥到应有的效果，今后的半年，我单位绩效监控机构会加强在监督和执行上的力度，采用每月整体监控机构共同对上月绩效执行情况做一个梳理，对于未按照时限完成的绩效予以督办并落实。同时也要加强会计、报账员的沟通，请上级财政部门也告知委办局领导财务人员手头工作繁琐，不应该在增加其他工作。具体</w:t>
      </w:r>
      <w:r>
        <w:rPr>
          <w:rFonts w:hint="eastAsia" w:ascii="仿宋_GB2312" w:eastAsia="仿宋_GB2312"/>
          <w:color w:val="000000" w:themeColor="text1"/>
          <w:sz w:val="32"/>
          <w:szCs w:val="32"/>
          <w:highlight w:val="none"/>
          <w14:textFill>
            <w14:solidFill>
              <w14:schemeClr w14:val="tx1"/>
            </w14:solidFill>
          </w14:textFill>
        </w:rPr>
        <w:t>项目自评情况附项目支出绩效自评表。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bookmarkStart w:id="32" w:name="_Toc3250"/>
      <w:bookmarkStart w:id="33" w:name="_Toc24143"/>
      <w:bookmarkStart w:id="34" w:name="_Toc28903"/>
      <w:bookmarkStart w:id="35" w:name="_Toc22784"/>
      <w:r>
        <w:rPr>
          <w:rFonts w:hint="eastAsia" w:ascii="黑体" w:hAnsi="黑体" w:eastAsia="黑体"/>
          <w:color w:val="000000" w:themeColor="text1"/>
          <w:sz w:val="32"/>
          <w:szCs w:val="32"/>
          <w:highlight w:val="none"/>
          <w14:textFill>
            <w14:solidFill>
              <w14:schemeClr w14:val="tx1"/>
            </w14:solidFill>
          </w14:textFill>
        </w:rPr>
        <w:t>第三部分 专业名词解释</w:t>
      </w:r>
      <w:bookmarkEnd w:id="32"/>
      <w:bookmarkEnd w:id="33"/>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财政拨款收入：指同级财政当年拨付的资金。</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事业收入：指事业单位开展专业业务活动及其辅助活动所取得的收入。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附属单位上缴收入：指事业单位附属的独立核算单位按有关规定上缴的收入。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其他收入：指除上述“财政拨款收入”、“事业收入”、“经营收入”、“附属单位上缴收入”等之外取得的收入。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年初</w:t>
      </w:r>
      <w:r>
        <w:rPr>
          <w:rFonts w:hint="eastAsia" w:ascii="仿宋_GB2312" w:eastAsia="仿宋_GB2312"/>
          <w:color w:val="000000" w:themeColor="text1"/>
          <w:sz w:val="32"/>
          <w:szCs w:val="32"/>
          <w:highlight w:val="none"/>
          <w14:textFill>
            <w14:solidFill>
              <w14:schemeClr w14:val="tx1"/>
            </w14:solidFill>
          </w14:textFill>
        </w:rPr>
        <w:t>结转和结余：指以前年度支出预算因客观条件变化未执行完毕、结转到本年度按有关规定继续使用的资金，既包括财政拨款结转和结余，也包括事业收入、经营收入、其他收入的结转和结余。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对附属单位补助支出：指事业单位发生的用非财政预算资金对附属单位的补助支出。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“三公”经费：指用一般公共预算财政拨款安排的因公出国（境）费、公务用车购置及运行费和公务接待费。其中，因公出国（境）费反映单位公务出国（境）的</w:t>
      </w:r>
      <w:r>
        <w:rPr>
          <w:rFonts w:hint="eastAsia" w:ascii="仿宋_GB2312" w:eastAsia="仿宋_GB2312"/>
          <w:color w:val="000000" w:themeColor="text1"/>
          <w:sz w:val="32"/>
          <w:szCs w:val="32"/>
          <w:highlight w:val="none"/>
          <w:lang w:eastAsia="zh-CN"/>
          <w14:textFill>
            <w14:solidFill>
              <w14:schemeClr w14:val="tx1"/>
            </w14:solidFill>
          </w14:textFill>
        </w:rPr>
        <w:t>国际旅费、国外城市间交通费、</w:t>
      </w:r>
      <w:r>
        <w:rPr>
          <w:rFonts w:hint="eastAsia" w:ascii="仿宋_GB2312" w:eastAsia="仿宋_GB2312"/>
          <w:color w:val="000000" w:themeColor="text1"/>
          <w:sz w:val="32"/>
          <w:szCs w:val="32"/>
          <w:highlight w:val="none"/>
          <w14:textFill>
            <w14:solidFill>
              <w14:schemeClr w14:val="tx1"/>
            </w14:solidFill>
          </w14:textFill>
        </w:rPr>
        <w:t>住宿费、伙食费、培训费、</w:t>
      </w:r>
      <w:r>
        <w:rPr>
          <w:rFonts w:hint="eastAsia" w:ascii="仿宋_GB2312" w:eastAsia="仿宋_GB2312"/>
          <w:color w:val="000000" w:themeColor="text1"/>
          <w:sz w:val="32"/>
          <w:szCs w:val="32"/>
          <w:highlight w:val="none"/>
          <w:lang w:eastAsia="zh-CN"/>
          <w14:textFill>
            <w14:solidFill>
              <w14:schemeClr w14:val="tx1"/>
            </w14:solidFill>
          </w14:textFill>
        </w:rPr>
        <w:t>公</w:t>
      </w:r>
      <w:r>
        <w:rPr>
          <w:rFonts w:hint="eastAsia" w:ascii="仿宋_GB2312" w:eastAsia="仿宋_GB2312"/>
          <w:color w:val="000000" w:themeColor="text1"/>
          <w:sz w:val="32"/>
          <w:szCs w:val="32"/>
          <w:highlight w:val="none"/>
          <w14:textFill>
            <w14:solidFill>
              <w14:schemeClr w14:val="tx1"/>
            </w14:solidFill>
          </w14:textFill>
        </w:rPr>
        <w:t>杂费等支出；公务用车购置费</w:t>
      </w:r>
      <w:r>
        <w:rPr>
          <w:rFonts w:hint="eastAsia" w:ascii="仿宋_GB2312" w:eastAsia="仿宋_GB2312"/>
          <w:color w:val="000000" w:themeColor="text1"/>
          <w:sz w:val="32"/>
          <w:szCs w:val="32"/>
          <w:highlight w:val="none"/>
          <w:lang w:eastAsia="zh-CN"/>
          <w14:textFill>
            <w14:solidFill>
              <w14:schemeClr w14:val="tx1"/>
            </w14:solidFill>
          </w14:textFill>
        </w:rPr>
        <w:t>反映公务用车购置支出（含车辆购置税、牌照费）；</w:t>
      </w:r>
      <w:r>
        <w:rPr>
          <w:rFonts w:hint="eastAsia" w:ascii="仿宋_GB2312" w:eastAsia="仿宋_GB2312"/>
          <w:color w:val="000000" w:themeColor="text1"/>
          <w:sz w:val="32"/>
          <w:szCs w:val="32"/>
          <w:highlight w:val="none"/>
          <w14:textFill>
            <w14:solidFill>
              <w14:schemeClr w14:val="tx1"/>
            </w14:solidFill>
          </w14:textFill>
        </w:rPr>
        <w:t>公务用车运行</w:t>
      </w:r>
      <w:r>
        <w:rPr>
          <w:rFonts w:hint="eastAsia" w:ascii="仿宋_GB2312" w:eastAsia="仿宋_GB2312"/>
          <w:color w:val="000000" w:themeColor="text1"/>
          <w:sz w:val="32"/>
          <w:szCs w:val="32"/>
          <w:highlight w:val="none"/>
          <w:lang w:eastAsia="zh-CN"/>
          <w14:textFill>
            <w14:solidFill>
              <w14:schemeClr w14:val="tx1"/>
            </w14:solidFill>
          </w14:textFill>
        </w:rPr>
        <w:t>维护</w:t>
      </w:r>
      <w:r>
        <w:rPr>
          <w:rFonts w:hint="eastAsia" w:ascii="仿宋_GB2312" w:eastAsia="仿宋_GB2312"/>
          <w:color w:val="000000" w:themeColor="text1"/>
          <w:sz w:val="32"/>
          <w:szCs w:val="32"/>
          <w:highlight w:val="none"/>
          <w14:textFill>
            <w14:solidFill>
              <w14:schemeClr w14:val="tx1"/>
            </w14:solidFill>
          </w14:textFill>
        </w:rPr>
        <w:t>费反映</w:t>
      </w:r>
      <w:r>
        <w:rPr>
          <w:rFonts w:hint="eastAsia" w:ascii="仿宋_GB2312" w:eastAsia="仿宋_GB2312"/>
          <w:color w:val="000000" w:themeColor="text1"/>
          <w:sz w:val="32"/>
          <w:szCs w:val="32"/>
          <w:highlight w:val="none"/>
          <w:lang w:eastAsia="zh-CN"/>
          <w14:textFill>
            <w14:solidFill>
              <w14:schemeClr w14:val="tx1"/>
            </w14:solidFill>
          </w14:textFill>
        </w:rPr>
        <w:t>单位按规定保留的公务用车燃料费、维修费、</w:t>
      </w:r>
      <w:r>
        <w:rPr>
          <w:rFonts w:hint="eastAsia" w:ascii="仿宋_GB2312" w:eastAsia="仿宋_GB2312"/>
          <w:color w:val="000000" w:themeColor="text1"/>
          <w:sz w:val="32"/>
          <w:szCs w:val="32"/>
          <w:highlight w:val="none"/>
          <w14:textFill>
            <w14:solidFill>
              <w14:schemeClr w14:val="tx1"/>
            </w14:solidFill>
          </w14:textFill>
        </w:rPr>
        <w:t>过路过桥费、保险费、安全奖励费用等支出</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公务接待费反映单位按规定开支的各类公务接待（含外宾接待）</w:t>
      </w:r>
      <w:r>
        <w:rPr>
          <w:rFonts w:hint="eastAsia" w:ascii="仿宋_GB2312" w:eastAsia="仿宋_GB2312"/>
          <w:color w:val="000000" w:themeColor="text1"/>
          <w:sz w:val="32"/>
          <w:szCs w:val="32"/>
          <w:highlight w:val="none"/>
          <w:lang w:eastAsia="zh-CN"/>
          <w14:textFill>
            <w14:solidFill>
              <w14:schemeClr w14:val="tx1"/>
            </w14:solidFill>
          </w14:textFill>
        </w:rPr>
        <w:t>费用</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第四部分 部门决算报表（见附表）</w:t>
      </w:r>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36" w:name="_Toc6062"/>
      <w:bookmarkStart w:id="37" w:name="_Toc2183"/>
      <w:r>
        <w:rPr>
          <w:rFonts w:hint="eastAsia" w:ascii="黑体" w:hAnsi="黑体" w:eastAsia="黑体" w:cs="宋体"/>
          <w:bCs/>
          <w:color w:val="000000" w:themeColor="text1"/>
          <w:kern w:val="0"/>
          <w:sz w:val="32"/>
          <w:szCs w:val="32"/>
          <w:highlight w:val="none"/>
          <w14:textFill>
            <w14:solidFill>
              <w14:schemeClr w14:val="tx1"/>
            </w14:solidFill>
          </w14:textFill>
        </w:rPr>
        <w:t>一、《收入支出决算总表》</w:t>
      </w:r>
      <w:bookmarkEnd w:id="36"/>
      <w:bookmarkEnd w:id="3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38" w:name="_Toc30364"/>
      <w:bookmarkStart w:id="39" w:name="_Toc24532"/>
      <w:r>
        <w:rPr>
          <w:rFonts w:hint="eastAsia" w:ascii="黑体" w:hAnsi="黑体" w:eastAsia="黑体" w:cs="宋体"/>
          <w:bCs/>
          <w:color w:val="000000" w:themeColor="text1"/>
          <w:kern w:val="0"/>
          <w:sz w:val="32"/>
          <w:szCs w:val="32"/>
          <w:highlight w:val="none"/>
          <w14:textFill>
            <w14:solidFill>
              <w14:schemeClr w14:val="tx1"/>
            </w14:solidFill>
          </w14:textFill>
        </w:rPr>
        <w:t>二、《收入决算表》</w:t>
      </w:r>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0" w:name="_Toc21304"/>
      <w:bookmarkStart w:id="41" w:name="_Toc32434"/>
      <w:r>
        <w:rPr>
          <w:rFonts w:hint="eastAsia" w:ascii="黑体" w:hAnsi="黑体" w:eastAsia="黑体" w:cs="宋体"/>
          <w:bCs/>
          <w:color w:val="000000" w:themeColor="text1"/>
          <w:kern w:val="0"/>
          <w:sz w:val="32"/>
          <w:szCs w:val="32"/>
          <w:highlight w:val="none"/>
          <w14:textFill>
            <w14:solidFill>
              <w14:schemeClr w14:val="tx1"/>
            </w14:solidFill>
          </w14:textFill>
        </w:rPr>
        <w:t>三、《支出决算表》</w:t>
      </w:r>
      <w:bookmarkEnd w:id="40"/>
      <w:bookmarkEnd w:id="4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2" w:name="_Toc14238"/>
      <w:bookmarkStart w:id="43" w:name="_Toc28786"/>
      <w:r>
        <w:rPr>
          <w:rFonts w:hint="eastAsia" w:ascii="黑体" w:hAnsi="黑体" w:eastAsia="黑体" w:cs="宋体"/>
          <w:bCs/>
          <w:color w:val="000000" w:themeColor="text1"/>
          <w:kern w:val="0"/>
          <w:sz w:val="32"/>
          <w:szCs w:val="32"/>
          <w:highlight w:val="none"/>
          <w14:textFill>
            <w14:solidFill>
              <w14:schemeClr w14:val="tx1"/>
            </w14:solidFill>
          </w14:textFill>
        </w:rPr>
        <w:t>四、《财政拨款收入支出决算总表》</w:t>
      </w:r>
      <w:bookmarkEnd w:id="42"/>
      <w:bookmarkEnd w:id="4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4" w:name="_Toc14869"/>
      <w:bookmarkStart w:id="45" w:name="_Toc10347"/>
      <w:r>
        <w:rPr>
          <w:rFonts w:hint="eastAsia" w:ascii="黑体" w:hAnsi="黑体" w:eastAsia="黑体" w:cs="宋体"/>
          <w:bCs/>
          <w:color w:val="000000" w:themeColor="text1"/>
          <w:kern w:val="0"/>
          <w:sz w:val="32"/>
          <w:szCs w:val="32"/>
          <w:highlight w:val="none"/>
          <w14:textFill>
            <w14:solidFill>
              <w14:schemeClr w14:val="tx1"/>
            </w14:solidFill>
          </w14:textFill>
        </w:rPr>
        <w:t>五、《一般公共预算财政拨款支出决算表》</w:t>
      </w:r>
      <w:bookmarkEnd w:id="44"/>
      <w:bookmarkEnd w:id="4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6" w:name="_Toc8884"/>
      <w:bookmarkStart w:id="47" w:name="_Toc5626"/>
      <w:r>
        <w:rPr>
          <w:rFonts w:hint="eastAsia" w:ascii="黑体" w:hAnsi="黑体" w:eastAsia="黑体" w:cs="宋体"/>
          <w:bCs/>
          <w:color w:val="000000" w:themeColor="text1"/>
          <w:kern w:val="0"/>
          <w:sz w:val="32"/>
          <w:szCs w:val="32"/>
          <w:highlight w:val="none"/>
          <w14:textFill>
            <w14:solidFill>
              <w14:schemeClr w14:val="tx1"/>
            </w14:solidFill>
          </w14:textFill>
        </w:rPr>
        <w:t>六、《一般公共预算财政拨款基本支出决算表》</w:t>
      </w:r>
      <w:bookmarkEnd w:id="46"/>
      <w:bookmarkEnd w:id="4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8" w:name="_Toc32663"/>
      <w:bookmarkStart w:id="49" w:name="_Toc29106"/>
      <w:r>
        <w:rPr>
          <w:rFonts w:hint="eastAsia" w:ascii="黑体" w:hAnsi="黑体" w:eastAsia="黑体" w:cs="宋体"/>
          <w:bCs/>
          <w:color w:val="000000" w:themeColor="text1"/>
          <w:kern w:val="0"/>
          <w:sz w:val="32"/>
          <w:szCs w:val="32"/>
          <w:highlight w:val="none"/>
          <w14:textFill>
            <w14:solidFill>
              <w14:schemeClr w14:val="tx1"/>
            </w14:solidFill>
          </w14:textFill>
        </w:rPr>
        <w:t>七、《一般公共预算财政拨款“三公”经费支出决算表》</w:t>
      </w:r>
      <w:bookmarkEnd w:id="48"/>
      <w:bookmarkEnd w:id="4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50" w:name="_Toc5453"/>
      <w:bookmarkStart w:id="51" w:name="_Toc7643"/>
      <w:r>
        <w:rPr>
          <w:rFonts w:hint="eastAsia" w:ascii="黑体" w:hAnsi="黑体" w:eastAsia="黑体" w:cs="宋体"/>
          <w:bCs/>
          <w:color w:val="000000" w:themeColor="text1"/>
          <w:kern w:val="0"/>
          <w:sz w:val="32"/>
          <w:szCs w:val="32"/>
          <w:highlight w:val="none"/>
          <w14:textFill>
            <w14:solidFill>
              <w14:schemeClr w14:val="tx1"/>
            </w14:solidFill>
          </w14:textFill>
        </w:rPr>
        <w:t>八、《政府性基金预算财政拨款收入支出决算表》</w:t>
      </w:r>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九</w:t>
      </w:r>
      <w:r>
        <w:rPr>
          <w:rFonts w:hint="eastAsia" w:ascii="黑体" w:hAnsi="黑体" w:eastAsia="黑体" w:cs="宋体"/>
          <w:bCs/>
          <w:color w:val="000000" w:themeColor="text1"/>
          <w:kern w:val="0"/>
          <w:sz w:val="32"/>
          <w:szCs w:val="32"/>
          <w:highlight w:val="none"/>
          <w14:textFill>
            <w14:solidFill>
              <w14:schemeClr w14:val="tx1"/>
            </w14:solidFill>
          </w14:textFill>
        </w:rPr>
        <w:t>、《</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国有资本经营</w:t>
      </w:r>
      <w:r>
        <w:rPr>
          <w:rFonts w:hint="eastAsia" w:ascii="黑体" w:hAnsi="黑体" w:eastAsia="黑体" w:cs="宋体"/>
          <w:bCs/>
          <w:color w:val="000000" w:themeColor="text1"/>
          <w:kern w:val="0"/>
          <w:sz w:val="32"/>
          <w:szCs w:val="32"/>
          <w:highlight w:val="none"/>
          <w14:textFill>
            <w14:solidFill>
              <w14:schemeClr w14:val="tx1"/>
            </w14:solidFill>
          </w14:textFill>
        </w:rPr>
        <w:t>预算财政拨款收入支出决算表》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169A"/>
    <w:rsid w:val="01734C27"/>
    <w:rsid w:val="01DD6073"/>
    <w:rsid w:val="02014C29"/>
    <w:rsid w:val="02890C73"/>
    <w:rsid w:val="04044ED1"/>
    <w:rsid w:val="041C5E18"/>
    <w:rsid w:val="04AA63C1"/>
    <w:rsid w:val="04EE377F"/>
    <w:rsid w:val="051C631E"/>
    <w:rsid w:val="0562142B"/>
    <w:rsid w:val="058B40E9"/>
    <w:rsid w:val="06792773"/>
    <w:rsid w:val="074F280E"/>
    <w:rsid w:val="075B1482"/>
    <w:rsid w:val="075F768F"/>
    <w:rsid w:val="07BA7C7F"/>
    <w:rsid w:val="07C3443C"/>
    <w:rsid w:val="08476613"/>
    <w:rsid w:val="084876D1"/>
    <w:rsid w:val="09026D66"/>
    <w:rsid w:val="090B11F4"/>
    <w:rsid w:val="0A2E4EB6"/>
    <w:rsid w:val="0A611FB0"/>
    <w:rsid w:val="0A6D05E4"/>
    <w:rsid w:val="0AC520F0"/>
    <w:rsid w:val="0B21162A"/>
    <w:rsid w:val="0B557DD5"/>
    <w:rsid w:val="0BED1442"/>
    <w:rsid w:val="0C595DFB"/>
    <w:rsid w:val="0C7A5D15"/>
    <w:rsid w:val="0CD00AF9"/>
    <w:rsid w:val="0CFEBB4E"/>
    <w:rsid w:val="0D0A4F7E"/>
    <w:rsid w:val="0D0B27DC"/>
    <w:rsid w:val="0D7C3599"/>
    <w:rsid w:val="0E003458"/>
    <w:rsid w:val="0E1F036C"/>
    <w:rsid w:val="0EB33F18"/>
    <w:rsid w:val="0F1410FB"/>
    <w:rsid w:val="0F923480"/>
    <w:rsid w:val="1056158D"/>
    <w:rsid w:val="10D8278C"/>
    <w:rsid w:val="10F929CB"/>
    <w:rsid w:val="10FF31A4"/>
    <w:rsid w:val="1142269D"/>
    <w:rsid w:val="11450985"/>
    <w:rsid w:val="11CA45A9"/>
    <w:rsid w:val="11E8712A"/>
    <w:rsid w:val="11FE3AAA"/>
    <w:rsid w:val="122451E5"/>
    <w:rsid w:val="126B62A8"/>
    <w:rsid w:val="12951F13"/>
    <w:rsid w:val="12B1037D"/>
    <w:rsid w:val="12CC4CD9"/>
    <w:rsid w:val="13326CE6"/>
    <w:rsid w:val="14284AED"/>
    <w:rsid w:val="15CF1AC0"/>
    <w:rsid w:val="17083B88"/>
    <w:rsid w:val="1742163F"/>
    <w:rsid w:val="176E53C3"/>
    <w:rsid w:val="1805797E"/>
    <w:rsid w:val="18124080"/>
    <w:rsid w:val="182E453B"/>
    <w:rsid w:val="189A656F"/>
    <w:rsid w:val="198202DA"/>
    <w:rsid w:val="19AF7A44"/>
    <w:rsid w:val="1A6109EF"/>
    <w:rsid w:val="1B424E9E"/>
    <w:rsid w:val="1BB07761"/>
    <w:rsid w:val="1C2A54A9"/>
    <w:rsid w:val="1C3737FD"/>
    <w:rsid w:val="1C88403A"/>
    <w:rsid w:val="1CB729A5"/>
    <w:rsid w:val="1CC56B97"/>
    <w:rsid w:val="1D34682A"/>
    <w:rsid w:val="1D4A73D5"/>
    <w:rsid w:val="1D9C2D67"/>
    <w:rsid w:val="1DAF458D"/>
    <w:rsid w:val="1DE34574"/>
    <w:rsid w:val="1F77716A"/>
    <w:rsid w:val="1F825A11"/>
    <w:rsid w:val="206034DD"/>
    <w:rsid w:val="20DF6845"/>
    <w:rsid w:val="233B4784"/>
    <w:rsid w:val="233E5923"/>
    <w:rsid w:val="236A6149"/>
    <w:rsid w:val="23B146B9"/>
    <w:rsid w:val="240038BA"/>
    <w:rsid w:val="240A65B7"/>
    <w:rsid w:val="263D5951"/>
    <w:rsid w:val="265E582C"/>
    <w:rsid w:val="26E147D1"/>
    <w:rsid w:val="27004B43"/>
    <w:rsid w:val="27B248A0"/>
    <w:rsid w:val="283F1644"/>
    <w:rsid w:val="287C6FB4"/>
    <w:rsid w:val="28B4796C"/>
    <w:rsid w:val="29770D57"/>
    <w:rsid w:val="29A000F0"/>
    <w:rsid w:val="29D21E13"/>
    <w:rsid w:val="2A053397"/>
    <w:rsid w:val="2AB554B8"/>
    <w:rsid w:val="2B0377CD"/>
    <w:rsid w:val="2B6B66AA"/>
    <w:rsid w:val="2BFE2EF0"/>
    <w:rsid w:val="2C1E18A5"/>
    <w:rsid w:val="2C604703"/>
    <w:rsid w:val="2D1136DF"/>
    <w:rsid w:val="2D2B5CBF"/>
    <w:rsid w:val="2D8C755C"/>
    <w:rsid w:val="2DA02D04"/>
    <w:rsid w:val="2DFD193C"/>
    <w:rsid w:val="2E9F6859"/>
    <w:rsid w:val="2EC544A9"/>
    <w:rsid w:val="2F0C26B1"/>
    <w:rsid w:val="2F116303"/>
    <w:rsid w:val="2FC614E6"/>
    <w:rsid w:val="30236790"/>
    <w:rsid w:val="30802486"/>
    <w:rsid w:val="31175173"/>
    <w:rsid w:val="314D12BC"/>
    <w:rsid w:val="316F250C"/>
    <w:rsid w:val="31BD13AC"/>
    <w:rsid w:val="31C63837"/>
    <w:rsid w:val="32082F98"/>
    <w:rsid w:val="32A6143E"/>
    <w:rsid w:val="336D09C0"/>
    <w:rsid w:val="354A37A9"/>
    <w:rsid w:val="36273CF4"/>
    <w:rsid w:val="36827C07"/>
    <w:rsid w:val="36AA5F52"/>
    <w:rsid w:val="36C058A7"/>
    <w:rsid w:val="36E000FD"/>
    <w:rsid w:val="374146AF"/>
    <w:rsid w:val="37D36EBD"/>
    <w:rsid w:val="399731E4"/>
    <w:rsid w:val="3ADE39A4"/>
    <w:rsid w:val="3AFB1A4C"/>
    <w:rsid w:val="3B610B0E"/>
    <w:rsid w:val="3BF672B3"/>
    <w:rsid w:val="3BF67B6E"/>
    <w:rsid w:val="3C276547"/>
    <w:rsid w:val="3C530331"/>
    <w:rsid w:val="3CBB22B3"/>
    <w:rsid w:val="3CC7093B"/>
    <w:rsid w:val="3CC80DC0"/>
    <w:rsid w:val="3D1309DF"/>
    <w:rsid w:val="3D217D96"/>
    <w:rsid w:val="3D5275AC"/>
    <w:rsid w:val="3DED65A8"/>
    <w:rsid w:val="3DFE4E4B"/>
    <w:rsid w:val="3E160417"/>
    <w:rsid w:val="3E4F50AC"/>
    <w:rsid w:val="40161B73"/>
    <w:rsid w:val="4079165E"/>
    <w:rsid w:val="41AD1AA2"/>
    <w:rsid w:val="41B20E4F"/>
    <w:rsid w:val="41D31F00"/>
    <w:rsid w:val="42B76840"/>
    <w:rsid w:val="43316970"/>
    <w:rsid w:val="4421165A"/>
    <w:rsid w:val="44467526"/>
    <w:rsid w:val="44CF4655"/>
    <w:rsid w:val="45A87853"/>
    <w:rsid w:val="45AD0B65"/>
    <w:rsid w:val="46901EEE"/>
    <w:rsid w:val="469C74D2"/>
    <w:rsid w:val="46DC1114"/>
    <w:rsid w:val="46FA6D28"/>
    <w:rsid w:val="473F39FE"/>
    <w:rsid w:val="476D2E32"/>
    <w:rsid w:val="47801D21"/>
    <w:rsid w:val="47FF5A3B"/>
    <w:rsid w:val="48F9688C"/>
    <w:rsid w:val="490B0284"/>
    <w:rsid w:val="492D17D3"/>
    <w:rsid w:val="493A3870"/>
    <w:rsid w:val="4A1207ED"/>
    <w:rsid w:val="4A9D77CC"/>
    <w:rsid w:val="4AF5079B"/>
    <w:rsid w:val="4B345CA5"/>
    <w:rsid w:val="4B701753"/>
    <w:rsid w:val="4BEB2AE8"/>
    <w:rsid w:val="4C181618"/>
    <w:rsid w:val="4C6D3066"/>
    <w:rsid w:val="4CB3745D"/>
    <w:rsid w:val="4D391693"/>
    <w:rsid w:val="4DA93660"/>
    <w:rsid w:val="4DD406E5"/>
    <w:rsid w:val="4DF31F55"/>
    <w:rsid w:val="4E535897"/>
    <w:rsid w:val="4F195BC9"/>
    <w:rsid w:val="4F714843"/>
    <w:rsid w:val="4FCE528B"/>
    <w:rsid w:val="5004002B"/>
    <w:rsid w:val="500A528D"/>
    <w:rsid w:val="50D87915"/>
    <w:rsid w:val="50DB5F45"/>
    <w:rsid w:val="510B4945"/>
    <w:rsid w:val="511D7E14"/>
    <w:rsid w:val="51554269"/>
    <w:rsid w:val="516A2E8A"/>
    <w:rsid w:val="517134A1"/>
    <w:rsid w:val="51BB37A4"/>
    <w:rsid w:val="52163B23"/>
    <w:rsid w:val="523D322D"/>
    <w:rsid w:val="52C01CAC"/>
    <w:rsid w:val="530335BC"/>
    <w:rsid w:val="535F2703"/>
    <w:rsid w:val="549741F3"/>
    <w:rsid w:val="56146D24"/>
    <w:rsid w:val="56547F9B"/>
    <w:rsid w:val="568D63A8"/>
    <w:rsid w:val="569D71D3"/>
    <w:rsid w:val="570E289D"/>
    <w:rsid w:val="57211AEC"/>
    <w:rsid w:val="57AF4592"/>
    <w:rsid w:val="5813797A"/>
    <w:rsid w:val="58344842"/>
    <w:rsid w:val="588E1D40"/>
    <w:rsid w:val="58E4063C"/>
    <w:rsid w:val="58F356A0"/>
    <w:rsid w:val="58FB4926"/>
    <w:rsid w:val="5A8C5C64"/>
    <w:rsid w:val="5B0A3C7C"/>
    <w:rsid w:val="5C145D5F"/>
    <w:rsid w:val="5C8850C2"/>
    <w:rsid w:val="5DE43C4B"/>
    <w:rsid w:val="5E256662"/>
    <w:rsid w:val="5E8D0FF0"/>
    <w:rsid w:val="5EA92E5B"/>
    <w:rsid w:val="5F312B5A"/>
    <w:rsid w:val="5F3A544C"/>
    <w:rsid w:val="5F421F4F"/>
    <w:rsid w:val="5F932967"/>
    <w:rsid w:val="600C4334"/>
    <w:rsid w:val="607C007C"/>
    <w:rsid w:val="60EE637C"/>
    <w:rsid w:val="610F4386"/>
    <w:rsid w:val="610F76A0"/>
    <w:rsid w:val="613B2291"/>
    <w:rsid w:val="616F6C82"/>
    <w:rsid w:val="61C23CA5"/>
    <w:rsid w:val="625B5AF2"/>
    <w:rsid w:val="62A91F52"/>
    <w:rsid w:val="62B07C56"/>
    <w:rsid w:val="64350E40"/>
    <w:rsid w:val="64766BFD"/>
    <w:rsid w:val="647D0508"/>
    <w:rsid w:val="6537230D"/>
    <w:rsid w:val="656325C7"/>
    <w:rsid w:val="65BF2B26"/>
    <w:rsid w:val="65CF3090"/>
    <w:rsid w:val="65D57A52"/>
    <w:rsid w:val="668019BE"/>
    <w:rsid w:val="668147BE"/>
    <w:rsid w:val="66A71241"/>
    <w:rsid w:val="67CB7D39"/>
    <w:rsid w:val="69316E1A"/>
    <w:rsid w:val="69554902"/>
    <w:rsid w:val="69A94B4A"/>
    <w:rsid w:val="69AD798C"/>
    <w:rsid w:val="69C70FA3"/>
    <w:rsid w:val="69E5430E"/>
    <w:rsid w:val="6A197EE3"/>
    <w:rsid w:val="6A4F6540"/>
    <w:rsid w:val="6A733F65"/>
    <w:rsid w:val="6AAD748A"/>
    <w:rsid w:val="6B4F02DD"/>
    <w:rsid w:val="6B68175F"/>
    <w:rsid w:val="6B8E27EF"/>
    <w:rsid w:val="6C360AF8"/>
    <w:rsid w:val="6C6B3009"/>
    <w:rsid w:val="6C6B3214"/>
    <w:rsid w:val="6C747BB9"/>
    <w:rsid w:val="6D3D14C4"/>
    <w:rsid w:val="6DF26FFC"/>
    <w:rsid w:val="6E094282"/>
    <w:rsid w:val="6ED34999"/>
    <w:rsid w:val="6F29157B"/>
    <w:rsid w:val="6F531BF4"/>
    <w:rsid w:val="700F486D"/>
    <w:rsid w:val="701074C0"/>
    <w:rsid w:val="707F51EF"/>
    <w:rsid w:val="71833EC6"/>
    <w:rsid w:val="718D4E0D"/>
    <w:rsid w:val="71AE7AA3"/>
    <w:rsid w:val="71CA2249"/>
    <w:rsid w:val="721E4A5D"/>
    <w:rsid w:val="72EE56CB"/>
    <w:rsid w:val="73406D5B"/>
    <w:rsid w:val="738E33C3"/>
    <w:rsid w:val="73FB6630"/>
    <w:rsid w:val="750B5BF1"/>
    <w:rsid w:val="75B51FC0"/>
    <w:rsid w:val="75B60031"/>
    <w:rsid w:val="76DD091D"/>
    <w:rsid w:val="77466E92"/>
    <w:rsid w:val="774B26E2"/>
    <w:rsid w:val="77720CA8"/>
    <w:rsid w:val="77ED6F44"/>
    <w:rsid w:val="78224413"/>
    <w:rsid w:val="78FD1F20"/>
    <w:rsid w:val="79870A12"/>
    <w:rsid w:val="7A1C6325"/>
    <w:rsid w:val="7A7632AD"/>
    <w:rsid w:val="7AC8434A"/>
    <w:rsid w:val="7B3910B5"/>
    <w:rsid w:val="7B4C7884"/>
    <w:rsid w:val="7B902D83"/>
    <w:rsid w:val="7BAB7A6D"/>
    <w:rsid w:val="7D5B7B53"/>
    <w:rsid w:val="7D710817"/>
    <w:rsid w:val="7E28168C"/>
    <w:rsid w:val="7F8F3BEC"/>
    <w:rsid w:val="7FD64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customStyle="1" w:styleId="10">
    <w:name w:val="WPSOffice手动目录 3"/>
    <w:qFormat/>
    <w:uiPriority w:val="0"/>
    <w:pPr>
      <w:ind w:leftChars="40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GXR</dc:creator>
  <cp:lastModifiedBy>Administrator</cp:lastModifiedBy>
  <dcterms:modified xsi:type="dcterms:W3CDTF">2021-09-02T09:30:40Z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58240A701613457BB24A0FE0F01EE863</vt:lpwstr>
  </property>
</Properties>
</file>