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000000" w:themeColor="text1"/>
          <w:sz w:val="44"/>
          <w:szCs w:val="44"/>
          <w:highlight w:val="none"/>
          <w14:textFill>
            <w14:solidFill>
              <w14:schemeClr w14:val="tx1"/>
            </w14:solidFill>
          </w14:textFill>
        </w:rPr>
      </w:pPr>
      <w:r>
        <w:rPr>
          <w:rFonts w:hint="eastAsia" w:ascii="方正小标宋_GBK" w:hAnsi="宋体" w:eastAsia="方正小标宋_GBK"/>
          <w:color w:val="000000" w:themeColor="text1"/>
          <w:sz w:val="44"/>
          <w:szCs w:val="44"/>
          <w:highlight w:val="none"/>
          <w:lang w:val="en-US" w:eastAsia="zh-CN"/>
          <w14:textFill>
            <w14:solidFill>
              <w14:schemeClr w14:val="tx1"/>
            </w14:solidFill>
          </w14:textFill>
        </w:rPr>
        <w:t>新疆乌鲁木齐县农村公路养护队</w:t>
      </w:r>
      <w:r>
        <w:rPr>
          <w:rFonts w:hint="eastAsia" w:ascii="方正小标宋_GBK" w:hAnsi="宋体" w:eastAsia="方正小标宋_GBK"/>
          <w:color w:val="000000" w:themeColor="text1"/>
          <w:sz w:val="44"/>
          <w:szCs w:val="44"/>
          <w:highlight w:val="none"/>
          <w14:textFill>
            <w14:solidFill>
              <w14:schemeClr w14:val="tx1"/>
            </w14:solidFill>
          </w14:textFill>
        </w:rPr>
        <w:t>2020年度部门决算公开说明</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_GB2312" w:hAnsi="仿宋_GB2312" w:eastAsia="仿宋_GB2312" w:cs="仿宋_GB2312"/>
          <w:b w:val="0"/>
          <w:bCs/>
          <w:color w:val="000000" w:themeColor="text1"/>
          <w:kern w:val="0"/>
          <w:sz w:val="32"/>
          <w:szCs w:val="32"/>
          <w:highlight w:val="none"/>
          <w14:textFill>
            <w14:solidFill>
              <w14:schemeClr w14:val="tx1"/>
            </w14:solidFill>
          </w14:textFill>
        </w:rPr>
      </w:pPr>
      <w:r>
        <w:rPr>
          <w:rFonts w:hint="eastAsia" w:ascii="方正小标宋_GBK" w:hAnsi="宋体" w:eastAsia="方正小标宋_GBK"/>
          <w:color w:val="000000" w:themeColor="text1"/>
          <w:sz w:val="44"/>
          <w:szCs w:val="44"/>
          <w:highlight w:val="none"/>
          <w14:textFill>
            <w14:solidFill>
              <w14:schemeClr w14:val="tx1"/>
            </w14:solidFill>
          </w14:textFill>
        </w:rPr>
        <w:br w:type="page"/>
      </w:r>
      <w:r>
        <w:rPr>
          <w:rFonts w:hint="eastAsia" w:ascii="仿宋_GB2312" w:hAnsi="仿宋_GB2312" w:eastAsia="仿宋_GB2312" w:cs="仿宋_GB2312"/>
          <w:b/>
          <w:bCs w:val="0"/>
          <w:color w:val="000000" w:themeColor="text1"/>
          <w:kern w:val="0"/>
          <w:sz w:val="36"/>
          <w:szCs w:val="36"/>
          <w:highlight w:val="none"/>
          <w14:textFill>
            <w14:solidFill>
              <w14:schemeClr w14:val="tx1"/>
            </w14:solidFill>
          </w14:textFill>
        </w:rPr>
        <w:t>目  录</w:t>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TOC \o "1-3" \n  \h \u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instrText xml:space="preserve"> HYPERLINK \l _Toc32314 </w:instrTex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第一部分 部门单位概况</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_Toc30567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一、主要职能</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_Toc2151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二、机构设置</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及人员</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instrText xml:space="preserve"> HYPERLINK \l _Toc29374 </w:instrTex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第二部分 部门决算情况说明</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_Toc25314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一、收入支出决算总体情况说明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_Toc12142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二、</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收入</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决算</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_Toc13201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三、支出决算情况说明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_Toc26564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四、财政拨款收入支出决算总体情况说明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_Toc20360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五、一般公共预算财政拨款支出决算情况说明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_Toc30870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六、一般公共预算财政拨款基本支出决算情况说明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_Toc21518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七</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、一般公共预算</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财政拨款</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“三公”经费支出</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决算</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情况</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_Toc5810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八、政府性基金预算财政拨款收入支出决算情况说明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rPr>
          <w:rFonts w:hint="eastAsia"/>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_Toc5810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九、国有资本经营预算财政拨款收入支出决算情况说明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_Toc1235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、其他重要事项的情况</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4"/>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_Toc14519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机关运行经费支出情况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4"/>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_Toc227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（二）政府采购情况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4"/>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_Toc8391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（三）国有资产占用情况说明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_Toc11283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十一、预算绩效的情况说明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instrText xml:space="preserve"> HYPERLINK \l _Toc3250 </w:instrTex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第三部分 专业名词解释</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instrText xml:space="preserve"> HYPERLINK \l _Toc22784 </w:instrTex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第四部分 部门决算报表（见附表）</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_Toc2183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一、《收入支出决算总表》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_Toc24532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二、《收入决算表》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_Toc32434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三、《支出决算表》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_Toc28786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四、《财政拨款收入支出决算总表》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_Toc14869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五、《一般公共预算财政拨款支出决算表》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_Toc8884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六、《一般公共预算财政拨款基本支出决算表》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_Toc29106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七、《一般公共预算财政拨款“三公”经费支出决算表》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fldChar w:fldCharType="begin"/>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instrText xml:space="preserve"> HYPERLINK \l _Toc7643 </w:instrTex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八、《政府性基金预算财政拨款收入支出决算表》</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九、《国有资本经营</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预算财政拨款收入支出决算表</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left="0" w:leftChars="0"/>
        <w:jc w:val="both"/>
        <w:textAlignment w:val="auto"/>
        <w:rPr>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br w:type="page"/>
      </w:r>
      <w:bookmarkStart w:id="0" w:name="_Toc24028"/>
      <w:bookmarkStart w:id="1" w:name="_Toc32314"/>
      <w:r>
        <w:rPr>
          <w:rFonts w:hint="eastAsia" w:ascii="黑体" w:hAnsi="黑体" w:eastAsia="黑体"/>
          <w:color w:val="000000" w:themeColor="text1"/>
          <w:sz w:val="32"/>
          <w:szCs w:val="32"/>
          <w:highlight w:val="none"/>
          <w14:textFill>
            <w14:solidFill>
              <w14:schemeClr w14:val="tx1"/>
            </w14:solidFill>
          </w14:textFill>
        </w:rPr>
        <w:t>第一部分 部门单位概况</w:t>
      </w:r>
      <w:bookmarkEnd w:id="0"/>
      <w:bookmarkEnd w:id="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ascii="黑体" w:hAnsi="黑体" w:eastAsia="黑体" w:cs="宋体"/>
          <w:bCs/>
          <w:color w:val="000000" w:themeColor="text1"/>
          <w:kern w:val="0"/>
          <w:sz w:val="32"/>
          <w:szCs w:val="32"/>
          <w:highlight w:val="none"/>
          <w14:textFill>
            <w14:solidFill>
              <w14:schemeClr w14:val="tx1"/>
            </w14:solidFill>
          </w14:textFill>
        </w:rPr>
      </w:pPr>
      <w:bookmarkStart w:id="2" w:name="_Toc30738"/>
      <w:bookmarkStart w:id="3" w:name="_Toc30567"/>
      <w:r>
        <w:rPr>
          <w:rFonts w:hint="eastAsia" w:ascii="黑体" w:hAnsi="黑体" w:eastAsia="黑体" w:cs="宋体"/>
          <w:bCs/>
          <w:color w:val="000000" w:themeColor="text1"/>
          <w:kern w:val="0"/>
          <w:sz w:val="32"/>
          <w:szCs w:val="32"/>
          <w:highlight w:val="none"/>
          <w14:textFill>
            <w14:solidFill>
              <w14:schemeClr w14:val="tx1"/>
            </w14:solidFill>
          </w14:textFill>
        </w:rPr>
        <w:t>一、主要职能</w:t>
      </w:r>
      <w:bookmarkEnd w:id="2"/>
      <w:bookmarkEnd w:id="3"/>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乌鲁木齐县农村公路养护队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主要职责是负责</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是为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全县</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公路提供养护保障，对辖区道路（桥梁）修建维护，公路改建、养护</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 w:name="_Toc31238"/>
      <w:bookmarkStart w:id="5" w:name="_Toc2151"/>
      <w:r>
        <w:rPr>
          <w:rFonts w:hint="eastAsia" w:ascii="黑体" w:hAnsi="黑体" w:eastAsia="黑体" w:cs="宋体"/>
          <w:bCs/>
          <w:color w:val="000000" w:themeColor="text1"/>
          <w:kern w:val="0"/>
          <w:sz w:val="32"/>
          <w:szCs w:val="32"/>
          <w:highlight w:val="none"/>
          <w14:textFill>
            <w14:solidFill>
              <w14:schemeClr w14:val="tx1"/>
            </w14:solidFill>
          </w14:textFill>
        </w:rPr>
        <w:t>二、机构设置</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及</w:t>
      </w:r>
      <w:bookmarkEnd w:id="4"/>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人员</w:t>
      </w:r>
      <w:r>
        <w:rPr>
          <w:rFonts w:hint="eastAsia" w:ascii="黑体" w:hAnsi="黑体" w:eastAsia="黑体" w:cs="宋体"/>
          <w:bCs/>
          <w:color w:val="000000" w:themeColor="text1"/>
          <w:kern w:val="0"/>
          <w:sz w:val="32"/>
          <w:szCs w:val="32"/>
          <w:highlight w:val="none"/>
          <w14:textFill>
            <w14:solidFill>
              <w14:schemeClr w14:val="tx1"/>
            </w14:solidFill>
          </w14:textFill>
        </w:rPr>
        <w:t>情况</w:t>
      </w:r>
      <w:bookmarkEnd w:id="5"/>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新疆乌鲁木齐县农村公路养护队2020年度，实有人数24人，其中：在职人员5人，离休人员0人，退休人员19人。</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从部门决算单位构成看，新疆乌鲁木齐县农村公路养护队部门决算包括：新疆乌鲁木齐县农村公路养护队决算。单位无下属预算单位，下设1个处室，分别是：办公室。</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snapToGrid/>
        <w:spacing w:line="240" w:lineRule="auto"/>
        <w:jc w:val="both"/>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240" w:lineRule="auto"/>
        <w:ind w:left="1680" w:leftChars="0" w:firstLine="420" w:firstLineChars="0"/>
        <w:jc w:val="both"/>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第二部分 部门决算情况说明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6" w:name="_Toc25314"/>
      <w:bookmarkStart w:id="7" w:name="_Toc12566"/>
      <w:r>
        <w:rPr>
          <w:rFonts w:hint="eastAsia" w:ascii="黑体" w:hAnsi="黑体" w:eastAsia="黑体" w:cs="宋体"/>
          <w:bCs/>
          <w:color w:val="000000" w:themeColor="text1"/>
          <w:kern w:val="0"/>
          <w:sz w:val="32"/>
          <w:szCs w:val="32"/>
          <w:highlight w:val="none"/>
          <w14:textFill>
            <w14:solidFill>
              <w14:schemeClr w14:val="tx1"/>
            </w14:solidFill>
          </w14:textFill>
        </w:rPr>
        <w:t>一、收入支出决算总体情况说明</w:t>
      </w:r>
      <w:bookmarkEnd w:id="6"/>
      <w:bookmarkEnd w:id="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b w:val="0"/>
          <w:bCs w:val="0"/>
          <w:color w:val="000000" w:themeColor="text1"/>
          <w:sz w:val="32"/>
          <w:szCs w:val="32"/>
          <w:highlight w:val="none"/>
          <w:lang w:eastAsia="zh-CN"/>
          <w14:textFill>
            <w14:solidFill>
              <w14:schemeClr w14:val="tx1"/>
            </w14:solidFill>
          </w14:textFill>
        </w:rPr>
      </w:pPr>
      <w:r>
        <w:rPr>
          <w:rFonts w:hint="eastAsia" w:ascii="仿宋_GB2312" w:eastAsia="仿宋_GB2312"/>
          <w:b w:val="0"/>
          <w:bCs w:val="0"/>
          <w:color w:val="000000" w:themeColor="text1"/>
          <w:spacing w:val="0"/>
          <w:sz w:val="32"/>
          <w:szCs w:val="32"/>
          <w:highlight w:val="none"/>
          <w:lang w:val="en-US" w:eastAsia="zh-CN"/>
          <w14:textFill>
            <w14:solidFill>
              <w14:schemeClr w14:val="tx1"/>
            </w14:solidFill>
          </w14:textFill>
        </w:rPr>
        <w:t>2020年度本年收入374.60万元，与上年相比，减少510.45万元，降低57.67%</w:t>
      </w:r>
      <w:r>
        <w:rPr>
          <w:rFonts w:hint="eastAsia" w:ascii="仿宋_GB2312" w:eastAsia="仿宋_GB2312"/>
          <w:b w:val="0"/>
          <w:bCs w:val="0"/>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14:textFill>
            <w14:solidFill>
              <w14:schemeClr w14:val="tx1"/>
            </w14:solidFill>
          </w14:textFill>
        </w:rPr>
        <w:t>：</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地税局维修款、应急抢险准备金、农村公路养护资金减少</w:t>
      </w:r>
      <w:r>
        <w:rPr>
          <w:rFonts w:hint="eastAsia" w:ascii="仿宋_GB2312" w:eastAsia="仿宋_GB2312"/>
          <w:b w:val="0"/>
          <w:bCs w:val="0"/>
          <w:color w:val="000000" w:themeColor="text1"/>
          <w:sz w:val="32"/>
          <w:szCs w:val="32"/>
          <w:highlight w:val="none"/>
          <w:lang w:eastAsia="zh-CN"/>
          <w14:textFill>
            <w14:solidFill>
              <w14:schemeClr w14:val="tx1"/>
            </w14:solidFill>
          </w14:textFill>
        </w:rPr>
        <w:t>。</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本年支出87.93万元，与上年相比，减少846.07万元，降低90.59%</w:t>
      </w:r>
      <w:r>
        <w:rPr>
          <w:rFonts w:hint="eastAsia" w:ascii="仿宋_GB2312" w:eastAsia="仿宋_GB2312"/>
          <w:b w:val="0"/>
          <w:bCs w:val="0"/>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14:textFill>
            <w14:solidFill>
              <w14:schemeClr w14:val="tx1"/>
            </w14:solidFill>
          </w14:textFill>
        </w:rPr>
        <w:t>：</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地税局维修款、应急抢险准备金、农村公路养护资金减少</w:t>
      </w:r>
      <w:r>
        <w:rPr>
          <w:rFonts w:hint="eastAsia" w:ascii="仿宋_GB2312" w:eastAsia="仿宋_GB2312"/>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8" w:name="_Toc1979"/>
      <w:bookmarkStart w:id="9" w:name="_Toc12142"/>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二、</w:t>
      </w:r>
      <w:r>
        <w:rPr>
          <w:rFonts w:hint="eastAsia" w:ascii="黑体" w:hAnsi="黑体" w:eastAsia="黑体" w:cs="宋体"/>
          <w:bCs/>
          <w:color w:val="000000" w:themeColor="text1"/>
          <w:kern w:val="0"/>
          <w:sz w:val="32"/>
          <w:szCs w:val="32"/>
          <w:highlight w:val="none"/>
          <w14:textFill>
            <w14:solidFill>
              <w14:schemeClr w14:val="tx1"/>
            </w14:solidFill>
          </w14:textFill>
        </w:rPr>
        <w:t>收入</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决算</w:t>
      </w:r>
      <w:r>
        <w:rPr>
          <w:rFonts w:hint="eastAsia" w:ascii="黑体" w:hAnsi="黑体" w:eastAsia="黑体" w:cs="宋体"/>
          <w:bCs/>
          <w:color w:val="000000" w:themeColor="text1"/>
          <w:kern w:val="0"/>
          <w:sz w:val="32"/>
          <w:szCs w:val="32"/>
          <w:highlight w:val="none"/>
          <w14:textFill>
            <w14:solidFill>
              <w14:schemeClr w14:val="tx1"/>
            </w14:solidFill>
          </w14:textFill>
        </w:rPr>
        <w:t>情况说明</w:t>
      </w:r>
      <w:bookmarkEnd w:id="8"/>
      <w:bookmarkEnd w:id="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本年收入374.60万元，其中：财政拨款收入77.39万元，占20.66%；上级补助收入0.00万元，占0.00%；事业收入0.00万元，占0.00%；经营收入0.00万元，占0.00%；附属单位上缴收入0.00万元，占0.00%；其他收入297.21万元，占79.34%。</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10" w:name="_Toc27961"/>
      <w:bookmarkStart w:id="11" w:name="_Toc13201"/>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三、支出决算情况说明</w:t>
      </w:r>
      <w:bookmarkEnd w:id="10"/>
      <w:bookmarkEnd w:id="1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2020年度本年支出87.93万元，其中：基本支出87.21万元，占99.18%；项目支出0.72万元，占0.82%；上缴上级支出0.00万元，占0.00%；经营支出0.00万元，占0.00%；对附属单位补助支出0.00万元，占0.00%。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12" w:name="_Toc26564"/>
      <w:bookmarkStart w:id="13" w:name="_Toc4393"/>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四、财政拨款收入支出决算总体情况说明</w:t>
      </w:r>
      <w:bookmarkEnd w:id="12"/>
      <w:bookmarkEnd w:id="1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2020年度财政拨款收入77.39万元，与上年相比，增加11.14万元，增长16.82%</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本年人员增加1人，相关经费增加</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财政拨款支出87.93万元，与上年相比，增加11.63万元，增长15.24%</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color w:val="000000" w:themeColor="text1"/>
          <w:sz w:val="32"/>
          <w:szCs w:val="32"/>
          <w:highlight w:val="none"/>
          <w14:textFill>
            <w14:solidFill>
              <w14:schemeClr w14:val="tx1"/>
            </w14:solidFill>
          </w14:textFill>
        </w:rPr>
        <w:t>：</w:t>
      </w:r>
      <w:bookmarkStart w:id="52" w:name="_GoBack"/>
      <w:bookmarkEnd w:id="52"/>
      <w:r>
        <w:rPr>
          <w:rFonts w:hint="eastAsia" w:ascii="仿宋_GB2312" w:eastAsia="仿宋_GB2312"/>
          <w:color w:val="000000" w:themeColor="text1"/>
          <w:sz w:val="32"/>
          <w:szCs w:val="32"/>
          <w:highlight w:val="none"/>
          <w:lang w:val="en-US" w:eastAsia="zh-CN"/>
          <w14:textFill>
            <w14:solidFill>
              <w14:schemeClr w14:val="tx1"/>
            </w14:solidFill>
          </w14:textFill>
        </w:rPr>
        <w:t>本年人员增加1人，相关经费增加</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与年初预算数相比情况：财政拨款收入年初预算数57.33万元，决算数77.39万元，预决算差异率34.99%</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color w:val="000000" w:themeColor="text1"/>
          <w:sz w:val="32"/>
          <w:szCs w:val="32"/>
          <w:highlight w:val="none"/>
          <w:lang w:val="en-US" w:eastAsia="zh-CN"/>
          <w14:textFill>
            <w14:solidFill>
              <w14:schemeClr w14:val="tx1"/>
            </w14:solidFill>
          </w14:textFill>
        </w:rPr>
        <w:t>本年人员增加1人，相关经费增加</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财政拨款支出年初预算数57.33万元，决算数87.93万元，预决算差异率53.38%</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color w:val="000000" w:themeColor="text1"/>
          <w:sz w:val="32"/>
          <w:szCs w:val="32"/>
          <w:highlight w:val="none"/>
          <w:lang w:val="en-US" w:eastAsia="zh-CN"/>
          <w14:textFill>
            <w14:solidFill>
              <w14:schemeClr w14:val="tx1"/>
            </w14:solidFill>
          </w14:textFill>
        </w:rPr>
        <w:t>本年人员增加1人，相关经费增加</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14" w:name="_Toc13833"/>
      <w:bookmarkStart w:id="15" w:name="_Toc20360"/>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五、一般公共预算财政拨款支出决算情况说明</w:t>
      </w:r>
      <w:bookmarkEnd w:id="14"/>
      <w:bookmarkEnd w:id="15"/>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2020年度一般公共预算财政拨款支出87.21万元。按功能分类科目项级科目公开，其中：</w:t>
      </w:r>
    </w:p>
    <w:p>
      <w:pPr>
        <w:keepNext w:val="0"/>
        <w:keepLines w:val="0"/>
        <w:pageBreakBefore w:val="0"/>
        <w:widowControl w:val="0"/>
        <w:kinsoku/>
        <w:wordWrap/>
        <w:overflowPunct/>
        <w:topLinePunct w:val="0"/>
        <w:bidi w:val="0"/>
        <w:adjustRightInd/>
        <w:snapToGrid/>
        <w:spacing w:line="240" w:lineRule="auto"/>
        <w:textAlignment w:val="auto"/>
        <w:rPr>
          <w:rFonts w:hint="default" w:ascii="仿宋_GB2312" w:eastAsia="仿宋_GB2312"/>
          <w:b/>
          <w:bCs/>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 xml:space="preserve">    2080505 机关事业单位基本养老保险缴费支出4.53万元;</w:t>
      </w:r>
      <w:r>
        <w:rPr>
          <w:rFonts w:hint="eastAsia" w:ascii="仿宋_GB2312" w:eastAsia="仿宋_GB2312"/>
          <w:color w:val="000000" w:themeColor="text1"/>
          <w:sz w:val="32"/>
          <w:szCs w:val="32"/>
          <w:highlight w:val="none"/>
          <w:lang w:val="en-US" w:eastAsia="zh-CN"/>
          <w14:textFill>
            <w14:solidFill>
              <w14:schemeClr w14:val="tx1"/>
            </w14:solidFill>
          </w14:textFill>
        </w:rPr>
        <w:br w:type="textWrapping"/>
      </w:r>
      <w:r>
        <w:rPr>
          <w:rFonts w:hint="eastAsia" w:ascii="仿宋_GB2312" w:eastAsia="仿宋_GB2312"/>
          <w:color w:val="000000" w:themeColor="text1"/>
          <w:sz w:val="32"/>
          <w:szCs w:val="32"/>
          <w:highlight w:val="none"/>
          <w:lang w:val="en-US" w:eastAsia="zh-CN"/>
          <w14:textFill>
            <w14:solidFill>
              <w14:schemeClr w14:val="tx1"/>
            </w14:solidFill>
          </w14:textFill>
        </w:rPr>
        <w:t xml:space="preserve">    2080506 机关事业单位职业年金缴费支出2.14万元;</w:t>
      </w:r>
      <w:r>
        <w:rPr>
          <w:rFonts w:hint="eastAsia" w:ascii="仿宋_GB2312" w:eastAsia="仿宋_GB2312"/>
          <w:color w:val="000000" w:themeColor="text1"/>
          <w:sz w:val="32"/>
          <w:szCs w:val="32"/>
          <w:highlight w:val="none"/>
          <w:lang w:val="en-US" w:eastAsia="zh-CN"/>
          <w14:textFill>
            <w14:solidFill>
              <w14:schemeClr w14:val="tx1"/>
            </w14:solidFill>
          </w14:textFill>
        </w:rPr>
        <w:br w:type="textWrapping"/>
      </w:r>
      <w:r>
        <w:rPr>
          <w:rFonts w:hint="eastAsia" w:ascii="仿宋_GB2312" w:eastAsia="仿宋_GB2312"/>
          <w:color w:val="000000" w:themeColor="text1"/>
          <w:sz w:val="32"/>
          <w:szCs w:val="32"/>
          <w:highlight w:val="none"/>
          <w:lang w:val="en-US" w:eastAsia="zh-CN"/>
          <w14:textFill>
            <w14:solidFill>
              <w14:schemeClr w14:val="tx1"/>
            </w14:solidFill>
          </w14:textFill>
        </w:rPr>
        <w:t xml:space="preserve">    2140106 公路养护80.54万元</w:t>
      </w:r>
      <w:r>
        <w:rPr>
          <w:rFonts w:hint="eastAsia" w:asci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16" w:name="_Toc30870"/>
      <w:bookmarkStart w:id="17" w:name="_Toc11146"/>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六、一般公共预算财政拨款基本支出决算情况说明</w:t>
      </w:r>
      <w:bookmarkEnd w:id="16"/>
      <w:bookmarkEnd w:id="17"/>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pacing w:val="0"/>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2020年度一般公共预算财政拨款基本支出87.21万元，其中：</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人员经费86.18万元，包括：基本工资、津贴补贴、奖金、绩效工资、机关事业单位基本养老保险缴费、职业年金缴费、职工基本医疗保险缴费、其他社会保障缴费、住房公积金、其他工资福利支出、退休费、抚恤金、生活补助、奖励金。</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公用经费1.03万元，包括：手续费、培训费、工会经费、福利费。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18" w:name="_Toc21518"/>
      <w:bookmarkStart w:id="19" w:name="_Toc7190"/>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七</w:t>
      </w:r>
      <w:r>
        <w:rPr>
          <w:rFonts w:hint="eastAsia" w:ascii="黑体" w:hAnsi="黑体" w:eastAsia="黑体" w:cs="宋体"/>
          <w:bCs/>
          <w:color w:val="000000" w:themeColor="text1"/>
          <w:kern w:val="0"/>
          <w:sz w:val="32"/>
          <w:szCs w:val="32"/>
          <w:highlight w:val="none"/>
          <w14:textFill>
            <w14:solidFill>
              <w14:schemeClr w14:val="tx1"/>
            </w14:solidFill>
          </w14:textFill>
        </w:rPr>
        <w:t>、一般公共预算</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财政拨款</w:t>
      </w:r>
      <w:r>
        <w:rPr>
          <w:rFonts w:hint="eastAsia" w:ascii="黑体" w:hAnsi="黑体" w:eastAsia="黑体" w:cs="宋体"/>
          <w:bCs/>
          <w:color w:val="000000" w:themeColor="text1"/>
          <w:kern w:val="0"/>
          <w:sz w:val="32"/>
          <w:szCs w:val="32"/>
          <w:highlight w:val="none"/>
          <w14:textFill>
            <w14:solidFill>
              <w14:schemeClr w14:val="tx1"/>
            </w14:solidFill>
          </w14:textFill>
        </w:rPr>
        <w:t>“三公”经费支出</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决算</w:t>
      </w:r>
      <w:r>
        <w:rPr>
          <w:rFonts w:hint="eastAsia" w:ascii="黑体" w:hAnsi="黑体" w:eastAsia="黑体" w:cs="宋体"/>
          <w:bCs/>
          <w:color w:val="000000" w:themeColor="text1"/>
          <w:kern w:val="0"/>
          <w:sz w:val="32"/>
          <w:szCs w:val="32"/>
          <w:highlight w:val="none"/>
          <w14:textFill>
            <w14:solidFill>
              <w14:schemeClr w14:val="tx1"/>
            </w14:solidFill>
          </w14:textFill>
        </w:rPr>
        <w:t>情况</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说明</w:t>
      </w:r>
      <w:bookmarkEnd w:id="18"/>
      <w:bookmarkEnd w:id="19"/>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2020年度一般公共预算“三公”经费支出决算0.00万元，比上年增加0.00万元，增长0.00%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我单位无一般公共预算“三公”经费支出</w:t>
      </w:r>
      <w:r>
        <w:rPr>
          <w:rFonts w:hint="eastAsia" w:ascii="仿宋_GB2312" w:eastAsia="仿宋_GB2312"/>
          <w:color w:val="000000" w:themeColor="text1"/>
          <w:sz w:val="32"/>
          <w:szCs w:val="32"/>
          <w:highlight w:val="none"/>
          <w:lang w:val="en-US" w:eastAsia="zh-CN"/>
          <w14:textFill>
            <w14:solidFill>
              <w14:schemeClr w14:val="tx1"/>
            </w14:solidFill>
          </w14:textFill>
        </w:rPr>
        <w:t>。其中，因公出国（境）费支出0.00万元，占0.00%，比上年增加0.00万元，增长0.00%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我单位无因公出国（境）费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公务用车购置及运行维护费支出0.00万元，占0%，比上年增加0.00万元，增长0.00%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我单位无公务用车购置及运行维护费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公务接待费支出0.00万元，占0%，比上年增加0.00万元，增长0.00%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主要原因是我单位无</w:t>
      </w:r>
      <w:r>
        <w:rPr>
          <w:rFonts w:hint="eastAsia" w:ascii="仿宋_GB2312" w:eastAsia="仿宋_GB2312"/>
          <w:color w:val="000000" w:themeColor="text1"/>
          <w:sz w:val="32"/>
          <w:szCs w:val="32"/>
          <w:highlight w:val="none"/>
          <w:lang w:val="en-US" w:eastAsia="zh-CN"/>
          <w14:textFill>
            <w14:solidFill>
              <w14:schemeClr w14:val="tx1"/>
            </w14:solidFill>
          </w14:textFill>
        </w:rPr>
        <w:t>公务接待费。具体情况如下：</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因公出国（境）费支出0.00万元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开支内容包括：</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我单位无因公出国（境）费</w:t>
      </w:r>
      <w:r>
        <w:rPr>
          <w:rFonts w:hint="eastAsia" w:ascii="仿宋_GB2312" w:eastAsia="仿宋_GB2312"/>
          <w:color w:val="000000" w:themeColor="text1"/>
          <w:sz w:val="32"/>
          <w:szCs w:val="32"/>
          <w:highlight w:val="none"/>
          <w:lang w:val="en-US" w:eastAsia="zh-CN"/>
          <w14:textFill>
            <w14:solidFill>
              <w14:schemeClr w14:val="tx1"/>
            </w14:solidFill>
          </w14:textFill>
        </w:rPr>
        <w:t>。单位全年安排的因公出国（境）团组0个，因公出国（境）0人次。</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公务用车购置及运行维护费0.00万元，其中，公务用车购置费0.00万元，公务用车运行维护费0.00万元。</w:t>
      </w:r>
      <w:r>
        <w:rPr>
          <w:rFonts w:hint="eastAsia" w:ascii="仿宋_GB2312" w:eastAsia="仿宋_GB2312"/>
          <w:color w:val="000000" w:themeColor="text1"/>
          <w:sz w:val="32"/>
          <w:szCs w:val="32"/>
          <w:highlight w:val="none"/>
          <w14:textFill>
            <w14:solidFill>
              <w14:schemeClr w14:val="tx1"/>
            </w14:solidFill>
          </w14:textFill>
        </w:rPr>
        <w:t>公务用车运行维护费开支内容包括</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我单位无公务用车运行维护费</w:t>
      </w:r>
      <w:r>
        <w:rPr>
          <w:rFonts w:hint="eastAsia" w:ascii="仿宋_GB2312" w:eastAsia="仿宋_GB2312"/>
          <w:color w:val="000000" w:themeColor="text1"/>
          <w:sz w:val="32"/>
          <w:szCs w:val="32"/>
          <w:highlight w:val="none"/>
          <w:lang w:val="en-US" w:eastAsia="zh-CN"/>
          <w14:textFill>
            <w14:solidFill>
              <w14:schemeClr w14:val="tx1"/>
            </w14:solidFill>
          </w14:textFill>
        </w:rPr>
        <w:t>。公务用车购置数0辆，公务用车保有量0辆。</w:t>
      </w:r>
    </w:p>
    <w:p>
      <w:pPr>
        <w:ind w:firstLine="640" w:firstLineChars="200"/>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公务接待费0.00万元</w:t>
      </w:r>
      <w:r>
        <w:rPr>
          <w:rFonts w:hint="eastAsia" w:ascii="仿宋_GB2312" w:eastAsia="仿宋_GB2312"/>
          <w:color w:val="000000" w:themeColor="text1"/>
          <w:sz w:val="32"/>
          <w:szCs w:val="32"/>
          <w:highlight w:val="none"/>
          <w14:textFill>
            <w14:solidFill>
              <w14:schemeClr w14:val="tx1"/>
            </w14:solidFill>
          </w14:textFill>
        </w:rPr>
        <w:t>，开支内容包括</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我单位无公务接待费</w:t>
      </w:r>
      <w:r>
        <w:rPr>
          <w:rFonts w:hint="eastAsia" w:ascii="仿宋_GB2312" w:eastAsia="仿宋_GB2312"/>
          <w:color w:val="000000" w:themeColor="text1"/>
          <w:sz w:val="32"/>
          <w:szCs w:val="32"/>
          <w:highlight w:val="none"/>
          <w:lang w:val="en-US" w:eastAsia="zh-CN"/>
          <w14:textFill>
            <w14:solidFill>
              <w14:schemeClr w14:val="tx1"/>
            </w14:solidFill>
          </w14:textFill>
        </w:rPr>
        <w:t>。单位全年安排的国内公务接待0批次，0人次。</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与年初预算数相比情况：一般公共预算“三公”经费支出年初预算数0.00万元，决算数0.00万元，预决算差异率0.00%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我单位无一般公共预算“三公”经费支出</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其中：因公出国（境）费预算数0.00万元，决算数0.00万元，预决算差异率0.00%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我单位无因公出国（境）费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公务用车购置费预算数0.00万元，决算数0.00万元，预决算差异率0.00%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我单位无公务用车购置费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公务用车运行费预算数0.00万元，决算数0.00万元，预决算差异率0.00%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我单位无公务用车运行维护费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公务接待费预算数0.00万元，决算数0.00万元，预决算差异率0.00%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我单位无公务接待费</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20" w:name="_Toc5810"/>
      <w:bookmarkStart w:id="21" w:name="_Toc7927"/>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八、政府性基金预算收入支出决算情况说明</w:t>
      </w:r>
      <w:bookmarkEnd w:id="20"/>
      <w:bookmarkEnd w:id="21"/>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pacing w:val="0"/>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政府性基金预算财政拨款收入0.00万元，与上年相比，增加0.00万元，增长0.00%，主要原因是：无政府性基金预算财政拨款收入。政府性基金预算支出0.72万元。与上年相比，减少19.60万元，降低96.46%，主要原因是：城市维护费减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九、国有资本经营预算财政拨款收入支出决算情况说明</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pacing w:val="0"/>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我单位本年度无国有资本经营预算财政拨款收入支出，国有资本经营预算财政拨款收入支出决算表为空表。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22" w:name="_Toc1235"/>
      <w:bookmarkStart w:id="23" w:name="_Toc7314"/>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十</w:t>
      </w:r>
      <w:r>
        <w:rPr>
          <w:rFonts w:hint="eastAsia" w:ascii="黑体" w:hAnsi="黑体" w:eastAsia="黑体" w:cs="宋体"/>
          <w:bCs/>
          <w:color w:val="000000" w:themeColor="text1"/>
          <w:kern w:val="0"/>
          <w:sz w:val="32"/>
          <w:szCs w:val="32"/>
          <w:highlight w:val="none"/>
          <w14:textFill>
            <w14:solidFill>
              <w14:schemeClr w14:val="tx1"/>
            </w14:solidFill>
          </w14:textFill>
        </w:rPr>
        <w:t>、其他重要事项的情况</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说明</w:t>
      </w:r>
      <w:bookmarkEnd w:id="22"/>
      <w:bookmarkEnd w:id="2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黑体" w:hAnsi="黑体" w:eastAsia="黑体"/>
          <w:color w:val="000000" w:themeColor="text1"/>
          <w:sz w:val="32"/>
          <w:szCs w:val="32"/>
          <w:highlight w:val="none"/>
          <w14:textFill>
            <w14:solidFill>
              <w14:schemeClr w14:val="tx1"/>
            </w14:solidFill>
          </w14:textFill>
        </w:rPr>
      </w:pPr>
      <w:bookmarkStart w:id="24" w:name="_Toc13105"/>
      <w:bookmarkStart w:id="25" w:name="_Toc14519"/>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机关运行经费支出情况</w:t>
      </w:r>
      <w:bookmarkEnd w:id="24"/>
      <w:bookmarkEnd w:id="25"/>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2020年度新疆乌鲁木齐县农村公路养护队（事业单位）日常公用经费1.03万元，比上年增加0.71万元，增长221.88%</w:t>
      </w:r>
      <w:r>
        <w:rPr>
          <w:rFonts w:hint="eastAsia" w:ascii="仿宋_GB2312" w:eastAsia="仿宋_GB2312"/>
          <w:color w:val="000000" w:themeColor="text1"/>
          <w:sz w:val="32"/>
          <w:szCs w:val="32"/>
          <w:highlight w:val="none"/>
          <w14:textFill>
            <w14:solidFill>
              <w14:schemeClr w14:val="tx1"/>
            </w14:solidFill>
          </w14:textFill>
        </w:rPr>
        <w:t>，主要原因是</w:t>
      </w:r>
      <w:r>
        <w:rPr>
          <w:rFonts w:hint="eastAsia" w:ascii="仿宋_GB2312" w:eastAsia="仿宋_GB2312"/>
          <w:color w:val="000000" w:themeColor="text1"/>
          <w:sz w:val="32"/>
          <w:szCs w:val="32"/>
          <w:highlight w:val="none"/>
          <w:lang w:val="en-US" w:eastAsia="zh-CN"/>
          <w14:textFill>
            <w14:solidFill>
              <w14:schemeClr w14:val="tx1"/>
            </w14:solidFill>
          </w14:textFill>
        </w:rPr>
        <w:t>人员增加，公用经费增加</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黑体" w:hAnsi="黑体" w:eastAsia="黑体"/>
          <w:color w:val="000000" w:themeColor="text1"/>
          <w:sz w:val="32"/>
          <w:szCs w:val="32"/>
          <w:highlight w:val="none"/>
          <w:lang w:eastAsia="zh-CN"/>
          <w14:textFill>
            <w14:solidFill>
              <w14:schemeClr w14:val="tx1"/>
            </w14:solidFill>
          </w14:textFill>
        </w:rPr>
      </w:pPr>
      <w:bookmarkStart w:id="26" w:name="_Toc227"/>
      <w:bookmarkStart w:id="27" w:name="_Toc26704"/>
      <w:r>
        <w:rPr>
          <w:rFonts w:hint="eastAsia" w:ascii="黑体" w:hAnsi="黑体" w:eastAsia="黑体"/>
          <w:color w:val="000000" w:themeColor="text1"/>
          <w:sz w:val="32"/>
          <w:szCs w:val="32"/>
          <w:highlight w:val="none"/>
          <w:lang w:eastAsia="zh-CN"/>
          <w14:textFill>
            <w14:solidFill>
              <w14:schemeClr w14:val="tx1"/>
            </w14:solidFill>
          </w14:textFill>
        </w:rPr>
        <w:t>（二）政府采购情况</w:t>
      </w:r>
      <w:bookmarkEnd w:id="26"/>
      <w:bookmarkEnd w:id="27"/>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2020年度政府采购支出总额0.00万元，其中：政府采购货物支出0.00万元、政府采购工程支出0.00万元、政府采购服务支出0.00万元。</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pacing w:val="0"/>
          <w:sz w:val="32"/>
          <w:szCs w:val="32"/>
          <w:highlight w:val="none"/>
          <w:lang w:val="en-US" w:eastAsia="zh-CN"/>
          <w14:textFill>
            <w14:solidFill>
              <w14:schemeClr w14:val="tx1"/>
            </w14:solidFill>
          </w14:textFill>
        </w:rPr>
      </w:pPr>
      <w:bookmarkStart w:id="28" w:name="_Toc4591"/>
      <w:bookmarkStart w:id="29" w:name="_Toc8391"/>
      <w:r>
        <w:rPr>
          <w:rFonts w:hint="eastAsia" w:ascii="仿宋_GB2312" w:eastAsia="仿宋_GB2312"/>
          <w:color w:val="000000" w:themeColor="text1"/>
          <w:spacing w:val="0"/>
          <w:sz w:val="32"/>
          <w:szCs w:val="32"/>
          <w:highlight w:val="none"/>
          <w:lang w:val="en-US" w:eastAsia="zh-CN"/>
          <w14:textFill>
            <w14:solidFill>
              <w14:schemeClr w14:val="tx1"/>
            </w14:solidFill>
          </w14:textFill>
        </w:rPr>
        <w:t>授予中小企业合同金额0.00万元，占政府采购支出总额的0%，其中：授予小微企业合同金额0.00万元，占政府采购支出总额的0.00%。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（三）国有资产占用情况说明</w:t>
      </w:r>
      <w:bookmarkEnd w:id="28"/>
      <w:bookmarkEnd w:id="29"/>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截止2020年12月31日，单位共有房屋380.00（平方米），价值5.00万元。车辆6辆，价值78.12万元，其中：副部（省）级及以上领导用车0辆、主要领导干部用车1辆、机要通信用车0辆、应急保障用车0辆、执法执勤用车0辆、特种专业技术用车4辆、离退休干部用车0辆、其他用车1辆</w:t>
      </w:r>
      <w:r>
        <w:rPr>
          <w:rFonts w:hint="eastAsia" w:ascii="仿宋_GB2312" w:eastAsia="仿宋_GB2312"/>
          <w:color w:val="000000" w:themeColor="text1"/>
          <w:sz w:val="32"/>
          <w:szCs w:val="32"/>
          <w:highlight w:val="none"/>
          <w14:textFill>
            <w14:solidFill>
              <w14:schemeClr w14:val="tx1"/>
            </w14:solidFill>
          </w14:textFill>
        </w:rPr>
        <w:t>，其他用车主要是：</w:t>
      </w:r>
      <w:r>
        <w:rPr>
          <w:rFonts w:hint="eastAsia" w:ascii="仿宋_GB2312" w:eastAsia="仿宋_GB2312"/>
          <w:color w:val="000000" w:themeColor="text1"/>
          <w:sz w:val="32"/>
          <w:szCs w:val="32"/>
          <w:highlight w:val="none"/>
          <w:lang w:val="en-US" w:eastAsia="zh-CN"/>
          <w14:textFill>
            <w14:solidFill>
              <w14:schemeClr w14:val="tx1"/>
            </w14:solidFill>
          </w14:textFill>
        </w:rPr>
        <w:t>一般公务用车</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单位价值50万元以上通用设备1台（套）、单位价值100万元以上专用设备0台（套）。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30" w:name="_Toc11283"/>
      <w:bookmarkStart w:id="31" w:name="_Toc435"/>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十一、预算绩效的情况说明</w:t>
      </w:r>
      <w:bookmarkEnd w:id="30"/>
      <w:bookmarkEnd w:id="31"/>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根据预算绩效管理要求，我单位</w:t>
      </w:r>
      <w:r>
        <w:rPr>
          <w:rFonts w:hint="eastAsia" w:ascii="仿宋_GB2312" w:eastAsia="仿宋_GB2312"/>
          <w:color w:val="000000" w:themeColor="text1"/>
          <w:sz w:val="32"/>
          <w:szCs w:val="32"/>
          <w:highlight w:val="none"/>
          <w:lang w:val="en-US" w:eastAsia="zh-CN"/>
          <w14:textFill>
            <w14:solidFill>
              <w14:schemeClr w14:val="tx1"/>
            </w14:solidFill>
          </w14:textFill>
        </w:rPr>
        <w:t>2020</w:t>
      </w:r>
      <w:r>
        <w:rPr>
          <w:rFonts w:hint="eastAsia" w:ascii="仿宋_GB2312" w:eastAsia="仿宋_GB2312"/>
          <w:color w:val="000000" w:themeColor="text1"/>
          <w:sz w:val="32"/>
          <w:szCs w:val="32"/>
          <w:highlight w:val="none"/>
          <w:lang w:eastAsia="zh-CN"/>
          <w14:textFill>
            <w14:solidFill>
              <w14:schemeClr w14:val="tx1"/>
            </w14:solidFill>
          </w14:textFill>
        </w:rPr>
        <w:t>年度开展预算绩效评价项目</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lang w:eastAsia="zh-CN"/>
          <w14:textFill>
            <w14:solidFill>
              <w14:schemeClr w14:val="tx1"/>
            </w14:solidFill>
          </w14:textFill>
        </w:rPr>
        <w:t>个，共涉及资金</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eastAsia="仿宋_GB2312"/>
          <w:color w:val="000000" w:themeColor="text1"/>
          <w:sz w:val="32"/>
          <w:szCs w:val="32"/>
          <w:highlight w:val="none"/>
          <w:lang w:eastAsia="zh-CN"/>
          <w14:textFill>
            <w14:solidFill>
              <w14:schemeClr w14:val="tx1"/>
            </w14:solidFill>
          </w14:textFill>
        </w:rPr>
        <w:t>。预算绩效管理取得的成效：单位无预算绩效管理项目</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发现的问题及原因：单位无预算绩效管理项目</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下一步改进措施：单位无预算绩效管理项目</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具体</w:t>
      </w:r>
      <w:r>
        <w:rPr>
          <w:rFonts w:hint="eastAsia" w:ascii="仿宋_GB2312" w:eastAsia="仿宋_GB2312"/>
          <w:color w:val="000000" w:themeColor="text1"/>
          <w:sz w:val="32"/>
          <w:szCs w:val="32"/>
          <w:highlight w:val="none"/>
          <w14:textFill>
            <w14:solidFill>
              <w14:schemeClr w14:val="tx1"/>
            </w14:solidFill>
          </w14:textFill>
        </w:rPr>
        <w:t>项目自评情况附项目支出绩效自评表。</w:t>
      </w:r>
    </w:p>
    <w:p>
      <w:pPr>
        <w:keepNext w:val="0"/>
        <w:keepLines w:val="0"/>
        <w:pageBreakBefore w:val="0"/>
        <w:widowControl w:val="0"/>
        <w:kinsoku/>
        <w:wordWrap/>
        <w:overflowPunct/>
        <w:topLinePunct w:val="0"/>
        <w:bidi w:val="0"/>
        <w:adjustRightInd/>
        <w:snapToGrid/>
        <w:spacing w:line="240" w:lineRule="auto"/>
        <w:jc w:val="both"/>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0"/>
        <w:rPr>
          <w:rFonts w:hint="eastAsia" w:ascii="黑体" w:hAnsi="黑体" w:eastAsia="黑体"/>
          <w:color w:val="000000" w:themeColor="text1"/>
          <w:sz w:val="32"/>
          <w:szCs w:val="32"/>
          <w:highlight w:val="none"/>
          <w14:textFill>
            <w14:solidFill>
              <w14:schemeClr w14:val="tx1"/>
            </w14:solidFill>
          </w14:textFill>
        </w:rPr>
      </w:pPr>
      <w:bookmarkStart w:id="32" w:name="_Toc3250"/>
      <w:bookmarkStart w:id="33" w:name="_Toc24143"/>
      <w:bookmarkStart w:id="34" w:name="_Toc28903"/>
      <w:bookmarkStart w:id="35" w:name="_Toc22784"/>
      <w:r>
        <w:rPr>
          <w:rFonts w:hint="eastAsia" w:ascii="黑体" w:hAnsi="黑体" w:eastAsia="黑体"/>
          <w:color w:val="000000" w:themeColor="text1"/>
          <w:sz w:val="32"/>
          <w:szCs w:val="32"/>
          <w:highlight w:val="none"/>
          <w14:textFill>
            <w14:solidFill>
              <w14:schemeClr w14:val="tx1"/>
            </w14:solidFill>
          </w14:textFill>
        </w:rPr>
        <w:t>第三部分 专业名词解释</w:t>
      </w:r>
      <w:bookmarkEnd w:id="32"/>
      <w:bookmarkEnd w:id="33"/>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财政拨款收入：指同级财政当年拨付的资金。</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上级补助收入：指事业单位从主管部门和上级单位取得的非财政补助收入。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事业收入：指事业单位开展专业业务活动及其辅助活动所取得的收入。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附属单位上缴收入：指事业单位附属的独立核算单位按有关规定上缴的收入。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其他收入：指除上述“财政拨款收入”、“事业收入”、“经营收入”、“附属单位上缴收入”等之外取得的收入。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年初</w:t>
      </w:r>
      <w:r>
        <w:rPr>
          <w:rFonts w:hint="eastAsia" w:ascii="仿宋_GB2312" w:eastAsia="仿宋_GB2312"/>
          <w:color w:val="000000" w:themeColor="text1"/>
          <w:sz w:val="32"/>
          <w:szCs w:val="32"/>
          <w:highlight w:val="none"/>
          <w14:textFill>
            <w14:solidFill>
              <w14:schemeClr w14:val="tx1"/>
            </w14:solidFill>
          </w14:textFill>
        </w:rPr>
        <w:t>结转和结余：指以前年度支出预算因客观条件变化未执行完毕、结转到本年度按有关规定继续使用的资金，既包括财政拨款结转和结余，也包括事业收入、经营收入、其他收入的结转和结余。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基本支出：指为保障机构正常运转、完成日常工作任务而发生的人员支出和公用支出。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项目支出：指在基本支出之外为完成特定行政任务和事业发展目标所发生的支出。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对附属单位补助支出：指事业单位发生的用非财政预算资金对附属单位的补助支出。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“三公”经费：指用一般公共预算财政拨款安排的因公出国（境）费、公务用车购置及运行费和公务接待费。其中，因公出国（境）费反映单位公务出国（境）的</w:t>
      </w:r>
      <w:r>
        <w:rPr>
          <w:rFonts w:hint="eastAsia" w:ascii="仿宋_GB2312" w:eastAsia="仿宋_GB2312"/>
          <w:color w:val="000000" w:themeColor="text1"/>
          <w:sz w:val="32"/>
          <w:szCs w:val="32"/>
          <w:highlight w:val="none"/>
          <w:lang w:eastAsia="zh-CN"/>
          <w14:textFill>
            <w14:solidFill>
              <w14:schemeClr w14:val="tx1"/>
            </w14:solidFill>
          </w14:textFill>
        </w:rPr>
        <w:t>国际旅费、国外城市间交通费、</w:t>
      </w:r>
      <w:r>
        <w:rPr>
          <w:rFonts w:hint="eastAsia" w:ascii="仿宋_GB2312" w:eastAsia="仿宋_GB2312"/>
          <w:color w:val="000000" w:themeColor="text1"/>
          <w:sz w:val="32"/>
          <w:szCs w:val="32"/>
          <w:highlight w:val="none"/>
          <w14:textFill>
            <w14:solidFill>
              <w14:schemeClr w14:val="tx1"/>
            </w14:solidFill>
          </w14:textFill>
        </w:rPr>
        <w:t>住宿费、伙食费、培训费、</w:t>
      </w:r>
      <w:r>
        <w:rPr>
          <w:rFonts w:hint="eastAsia" w:ascii="仿宋_GB2312" w:eastAsia="仿宋_GB2312"/>
          <w:color w:val="000000" w:themeColor="text1"/>
          <w:sz w:val="32"/>
          <w:szCs w:val="32"/>
          <w:highlight w:val="none"/>
          <w:lang w:eastAsia="zh-CN"/>
          <w14:textFill>
            <w14:solidFill>
              <w14:schemeClr w14:val="tx1"/>
            </w14:solidFill>
          </w14:textFill>
        </w:rPr>
        <w:t>公</w:t>
      </w:r>
      <w:r>
        <w:rPr>
          <w:rFonts w:hint="eastAsia" w:ascii="仿宋_GB2312" w:eastAsia="仿宋_GB2312"/>
          <w:color w:val="000000" w:themeColor="text1"/>
          <w:sz w:val="32"/>
          <w:szCs w:val="32"/>
          <w:highlight w:val="none"/>
          <w14:textFill>
            <w14:solidFill>
              <w14:schemeClr w14:val="tx1"/>
            </w14:solidFill>
          </w14:textFill>
        </w:rPr>
        <w:t>杂费等支出；公务用车购置费</w:t>
      </w:r>
      <w:r>
        <w:rPr>
          <w:rFonts w:hint="eastAsia" w:ascii="仿宋_GB2312" w:eastAsia="仿宋_GB2312"/>
          <w:color w:val="000000" w:themeColor="text1"/>
          <w:sz w:val="32"/>
          <w:szCs w:val="32"/>
          <w:highlight w:val="none"/>
          <w:lang w:eastAsia="zh-CN"/>
          <w14:textFill>
            <w14:solidFill>
              <w14:schemeClr w14:val="tx1"/>
            </w14:solidFill>
          </w14:textFill>
        </w:rPr>
        <w:t>反映公务用车购置支出（含车辆购置税、牌照费）；</w:t>
      </w:r>
      <w:r>
        <w:rPr>
          <w:rFonts w:hint="eastAsia" w:ascii="仿宋_GB2312" w:eastAsia="仿宋_GB2312"/>
          <w:color w:val="000000" w:themeColor="text1"/>
          <w:sz w:val="32"/>
          <w:szCs w:val="32"/>
          <w:highlight w:val="none"/>
          <w14:textFill>
            <w14:solidFill>
              <w14:schemeClr w14:val="tx1"/>
            </w14:solidFill>
          </w14:textFill>
        </w:rPr>
        <w:t>公务用车运行</w:t>
      </w:r>
      <w:r>
        <w:rPr>
          <w:rFonts w:hint="eastAsia" w:ascii="仿宋_GB2312" w:eastAsia="仿宋_GB2312"/>
          <w:color w:val="000000" w:themeColor="text1"/>
          <w:sz w:val="32"/>
          <w:szCs w:val="32"/>
          <w:highlight w:val="none"/>
          <w:lang w:eastAsia="zh-CN"/>
          <w14:textFill>
            <w14:solidFill>
              <w14:schemeClr w14:val="tx1"/>
            </w14:solidFill>
          </w14:textFill>
        </w:rPr>
        <w:t>维护</w:t>
      </w:r>
      <w:r>
        <w:rPr>
          <w:rFonts w:hint="eastAsia" w:ascii="仿宋_GB2312" w:eastAsia="仿宋_GB2312"/>
          <w:color w:val="000000" w:themeColor="text1"/>
          <w:sz w:val="32"/>
          <w:szCs w:val="32"/>
          <w:highlight w:val="none"/>
          <w14:textFill>
            <w14:solidFill>
              <w14:schemeClr w14:val="tx1"/>
            </w14:solidFill>
          </w14:textFill>
        </w:rPr>
        <w:t>费反映</w:t>
      </w:r>
      <w:r>
        <w:rPr>
          <w:rFonts w:hint="eastAsia" w:ascii="仿宋_GB2312" w:eastAsia="仿宋_GB2312"/>
          <w:color w:val="000000" w:themeColor="text1"/>
          <w:sz w:val="32"/>
          <w:szCs w:val="32"/>
          <w:highlight w:val="none"/>
          <w:lang w:eastAsia="zh-CN"/>
          <w14:textFill>
            <w14:solidFill>
              <w14:schemeClr w14:val="tx1"/>
            </w14:solidFill>
          </w14:textFill>
        </w:rPr>
        <w:t>单位按规定保留的公务用车燃料费、维修费、</w:t>
      </w:r>
      <w:r>
        <w:rPr>
          <w:rFonts w:hint="eastAsia" w:ascii="仿宋_GB2312" w:eastAsia="仿宋_GB2312"/>
          <w:color w:val="000000" w:themeColor="text1"/>
          <w:sz w:val="32"/>
          <w:szCs w:val="32"/>
          <w:highlight w:val="none"/>
          <w14:textFill>
            <w14:solidFill>
              <w14:schemeClr w14:val="tx1"/>
            </w14:solidFill>
          </w14:textFill>
        </w:rPr>
        <w:t>过路过桥费、保险费、安全奖励费用等支出</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公务接待费反映单位按规定开支的各类公务接待（含外宾接待）</w:t>
      </w:r>
      <w:r>
        <w:rPr>
          <w:rFonts w:hint="eastAsia" w:ascii="仿宋_GB2312" w:eastAsia="仿宋_GB2312"/>
          <w:color w:val="000000" w:themeColor="text1"/>
          <w:sz w:val="32"/>
          <w:szCs w:val="32"/>
          <w:highlight w:val="none"/>
          <w:lang w:eastAsia="zh-CN"/>
          <w14:textFill>
            <w14:solidFill>
              <w14:schemeClr w14:val="tx1"/>
            </w14:solidFill>
          </w14:textFill>
        </w:rPr>
        <w:t>费用</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adjustRightInd/>
        <w:snapToGrid/>
        <w:spacing w:line="240" w:lineRule="auto"/>
        <w:jc w:val="both"/>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第四部分 部门决算报表（见附表）</w:t>
      </w:r>
      <w:bookmarkEnd w:id="34"/>
      <w:bookmarkEnd w:id="3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36" w:name="_Toc6062"/>
      <w:bookmarkStart w:id="37" w:name="_Toc2183"/>
      <w:r>
        <w:rPr>
          <w:rFonts w:hint="eastAsia" w:ascii="黑体" w:hAnsi="黑体" w:eastAsia="黑体" w:cs="宋体"/>
          <w:bCs/>
          <w:color w:val="000000" w:themeColor="text1"/>
          <w:kern w:val="0"/>
          <w:sz w:val="32"/>
          <w:szCs w:val="32"/>
          <w:highlight w:val="none"/>
          <w14:textFill>
            <w14:solidFill>
              <w14:schemeClr w14:val="tx1"/>
            </w14:solidFill>
          </w14:textFill>
        </w:rPr>
        <w:t>一、《收入支出决算总表》</w:t>
      </w:r>
      <w:bookmarkEnd w:id="36"/>
      <w:bookmarkEnd w:id="3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38" w:name="_Toc24532"/>
      <w:bookmarkStart w:id="39" w:name="_Toc30364"/>
      <w:r>
        <w:rPr>
          <w:rFonts w:hint="eastAsia" w:ascii="黑体" w:hAnsi="黑体" w:eastAsia="黑体" w:cs="宋体"/>
          <w:bCs/>
          <w:color w:val="000000" w:themeColor="text1"/>
          <w:kern w:val="0"/>
          <w:sz w:val="32"/>
          <w:szCs w:val="32"/>
          <w:highlight w:val="none"/>
          <w14:textFill>
            <w14:solidFill>
              <w14:schemeClr w14:val="tx1"/>
            </w14:solidFill>
          </w14:textFill>
        </w:rPr>
        <w:t>二、《收入决算表》</w:t>
      </w:r>
      <w:bookmarkEnd w:id="38"/>
      <w:bookmarkEnd w:id="3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0" w:name="_Toc32434"/>
      <w:bookmarkStart w:id="41" w:name="_Toc21304"/>
      <w:r>
        <w:rPr>
          <w:rFonts w:hint="eastAsia" w:ascii="黑体" w:hAnsi="黑体" w:eastAsia="黑体" w:cs="宋体"/>
          <w:bCs/>
          <w:color w:val="000000" w:themeColor="text1"/>
          <w:kern w:val="0"/>
          <w:sz w:val="32"/>
          <w:szCs w:val="32"/>
          <w:highlight w:val="none"/>
          <w14:textFill>
            <w14:solidFill>
              <w14:schemeClr w14:val="tx1"/>
            </w14:solidFill>
          </w14:textFill>
        </w:rPr>
        <w:t>三、《支出决算表》</w:t>
      </w:r>
      <w:bookmarkEnd w:id="40"/>
      <w:bookmarkEnd w:id="4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2" w:name="_Toc14238"/>
      <w:bookmarkStart w:id="43" w:name="_Toc28786"/>
      <w:r>
        <w:rPr>
          <w:rFonts w:hint="eastAsia" w:ascii="黑体" w:hAnsi="黑体" w:eastAsia="黑体" w:cs="宋体"/>
          <w:bCs/>
          <w:color w:val="000000" w:themeColor="text1"/>
          <w:kern w:val="0"/>
          <w:sz w:val="32"/>
          <w:szCs w:val="32"/>
          <w:highlight w:val="none"/>
          <w14:textFill>
            <w14:solidFill>
              <w14:schemeClr w14:val="tx1"/>
            </w14:solidFill>
          </w14:textFill>
        </w:rPr>
        <w:t>四、《财政拨款收入支出决算总表》</w:t>
      </w:r>
      <w:bookmarkEnd w:id="42"/>
      <w:bookmarkEnd w:id="4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4" w:name="_Toc10347"/>
      <w:bookmarkStart w:id="45" w:name="_Toc14869"/>
      <w:r>
        <w:rPr>
          <w:rFonts w:hint="eastAsia" w:ascii="黑体" w:hAnsi="黑体" w:eastAsia="黑体" w:cs="宋体"/>
          <w:bCs/>
          <w:color w:val="000000" w:themeColor="text1"/>
          <w:kern w:val="0"/>
          <w:sz w:val="32"/>
          <w:szCs w:val="32"/>
          <w:highlight w:val="none"/>
          <w14:textFill>
            <w14:solidFill>
              <w14:schemeClr w14:val="tx1"/>
            </w14:solidFill>
          </w14:textFill>
        </w:rPr>
        <w:t>五、《一般公共预算财政拨款支出决算表》</w:t>
      </w:r>
      <w:bookmarkEnd w:id="44"/>
      <w:bookmarkEnd w:id="4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6" w:name="_Toc5626"/>
      <w:bookmarkStart w:id="47" w:name="_Toc8884"/>
      <w:r>
        <w:rPr>
          <w:rFonts w:hint="eastAsia" w:ascii="黑体" w:hAnsi="黑体" w:eastAsia="黑体" w:cs="宋体"/>
          <w:bCs/>
          <w:color w:val="000000" w:themeColor="text1"/>
          <w:kern w:val="0"/>
          <w:sz w:val="32"/>
          <w:szCs w:val="32"/>
          <w:highlight w:val="none"/>
          <w14:textFill>
            <w14:solidFill>
              <w14:schemeClr w14:val="tx1"/>
            </w14:solidFill>
          </w14:textFill>
        </w:rPr>
        <w:t>六、《一般公共预算财政拨款基本支出决算表》</w:t>
      </w:r>
      <w:bookmarkEnd w:id="46"/>
      <w:bookmarkEnd w:id="4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8" w:name="_Toc29106"/>
      <w:bookmarkStart w:id="49" w:name="_Toc32663"/>
      <w:r>
        <w:rPr>
          <w:rFonts w:hint="eastAsia" w:ascii="黑体" w:hAnsi="黑体" w:eastAsia="黑体" w:cs="宋体"/>
          <w:bCs/>
          <w:color w:val="000000" w:themeColor="text1"/>
          <w:kern w:val="0"/>
          <w:sz w:val="32"/>
          <w:szCs w:val="32"/>
          <w:highlight w:val="none"/>
          <w14:textFill>
            <w14:solidFill>
              <w14:schemeClr w14:val="tx1"/>
            </w14:solidFill>
          </w14:textFill>
        </w:rPr>
        <w:t>七、《一般公共预算财政拨款“三公”经费支出决算表》</w:t>
      </w:r>
      <w:bookmarkEnd w:id="48"/>
      <w:bookmarkEnd w:id="4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50" w:name="_Toc7643"/>
      <w:bookmarkStart w:id="51" w:name="_Toc5453"/>
      <w:r>
        <w:rPr>
          <w:rFonts w:hint="eastAsia" w:ascii="黑体" w:hAnsi="黑体" w:eastAsia="黑体" w:cs="宋体"/>
          <w:bCs/>
          <w:color w:val="000000" w:themeColor="text1"/>
          <w:kern w:val="0"/>
          <w:sz w:val="32"/>
          <w:szCs w:val="32"/>
          <w:highlight w:val="none"/>
          <w14:textFill>
            <w14:solidFill>
              <w14:schemeClr w14:val="tx1"/>
            </w14:solidFill>
          </w14:textFill>
        </w:rPr>
        <w:t>八、《政府性基金预算财政拨款收入支出决算表》</w:t>
      </w:r>
      <w:bookmarkEnd w:id="50"/>
      <w:bookmarkEnd w:id="5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九</w:t>
      </w:r>
      <w:r>
        <w:rPr>
          <w:rFonts w:hint="eastAsia" w:ascii="黑体" w:hAnsi="黑体" w:eastAsia="黑体" w:cs="宋体"/>
          <w:bCs/>
          <w:color w:val="000000" w:themeColor="text1"/>
          <w:kern w:val="0"/>
          <w:sz w:val="32"/>
          <w:szCs w:val="32"/>
          <w:highlight w:val="none"/>
          <w14:textFill>
            <w14:solidFill>
              <w14:schemeClr w14:val="tx1"/>
            </w14:solidFill>
          </w14:textFill>
        </w:rPr>
        <w:t>、《</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国有资本经营</w:t>
      </w:r>
      <w:r>
        <w:rPr>
          <w:rFonts w:hint="eastAsia" w:ascii="黑体" w:hAnsi="黑体" w:eastAsia="黑体" w:cs="宋体"/>
          <w:bCs/>
          <w:color w:val="000000" w:themeColor="text1"/>
          <w:kern w:val="0"/>
          <w:sz w:val="32"/>
          <w:szCs w:val="32"/>
          <w:highlight w:val="none"/>
          <w14:textFill>
            <w14:solidFill>
              <w14:schemeClr w14:val="tx1"/>
            </w14:solidFill>
          </w14:textFill>
        </w:rPr>
        <w:t>预算财政拨款收入支出决算表》</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1169A"/>
    <w:rsid w:val="01734C27"/>
    <w:rsid w:val="01DD6073"/>
    <w:rsid w:val="02014C29"/>
    <w:rsid w:val="02890C73"/>
    <w:rsid w:val="04044ED1"/>
    <w:rsid w:val="041C5E18"/>
    <w:rsid w:val="04AA63C1"/>
    <w:rsid w:val="04EE377F"/>
    <w:rsid w:val="051C631E"/>
    <w:rsid w:val="0562142B"/>
    <w:rsid w:val="06792773"/>
    <w:rsid w:val="074F280E"/>
    <w:rsid w:val="075B1482"/>
    <w:rsid w:val="075F768F"/>
    <w:rsid w:val="07BA7C7F"/>
    <w:rsid w:val="07C3443C"/>
    <w:rsid w:val="08476613"/>
    <w:rsid w:val="084876D1"/>
    <w:rsid w:val="09026D66"/>
    <w:rsid w:val="090B11F4"/>
    <w:rsid w:val="0A2E4EB6"/>
    <w:rsid w:val="0A611FB0"/>
    <w:rsid w:val="0A6D05E4"/>
    <w:rsid w:val="0AC520F0"/>
    <w:rsid w:val="0B21162A"/>
    <w:rsid w:val="0B557DD5"/>
    <w:rsid w:val="0BED1442"/>
    <w:rsid w:val="0C595DFB"/>
    <w:rsid w:val="0C7A5D15"/>
    <w:rsid w:val="0CD00AF9"/>
    <w:rsid w:val="0CFEBB4E"/>
    <w:rsid w:val="0D0A4F7E"/>
    <w:rsid w:val="0D0B27DC"/>
    <w:rsid w:val="0D7C3599"/>
    <w:rsid w:val="0E003458"/>
    <w:rsid w:val="0E1F036C"/>
    <w:rsid w:val="0EB33F18"/>
    <w:rsid w:val="0F1410FB"/>
    <w:rsid w:val="0F923480"/>
    <w:rsid w:val="1056158D"/>
    <w:rsid w:val="10F929CB"/>
    <w:rsid w:val="10FF31A4"/>
    <w:rsid w:val="1142269D"/>
    <w:rsid w:val="11450985"/>
    <w:rsid w:val="11CA45A9"/>
    <w:rsid w:val="11E8712A"/>
    <w:rsid w:val="11FE3AAA"/>
    <w:rsid w:val="122451E5"/>
    <w:rsid w:val="126B62A8"/>
    <w:rsid w:val="12951F13"/>
    <w:rsid w:val="12B1037D"/>
    <w:rsid w:val="12CC4CD9"/>
    <w:rsid w:val="13326CE6"/>
    <w:rsid w:val="14284AED"/>
    <w:rsid w:val="15CF1AC0"/>
    <w:rsid w:val="17083B88"/>
    <w:rsid w:val="1742163F"/>
    <w:rsid w:val="176E53C3"/>
    <w:rsid w:val="1805797E"/>
    <w:rsid w:val="18124080"/>
    <w:rsid w:val="182E453B"/>
    <w:rsid w:val="189A656F"/>
    <w:rsid w:val="195A18CC"/>
    <w:rsid w:val="198202DA"/>
    <w:rsid w:val="19AF7A44"/>
    <w:rsid w:val="1A6109EF"/>
    <w:rsid w:val="1B424E9E"/>
    <w:rsid w:val="1BB07761"/>
    <w:rsid w:val="1C2A54A9"/>
    <w:rsid w:val="1C3737FD"/>
    <w:rsid w:val="1C88403A"/>
    <w:rsid w:val="1CB729A5"/>
    <w:rsid w:val="1CC56B97"/>
    <w:rsid w:val="1D34682A"/>
    <w:rsid w:val="1D4A73D5"/>
    <w:rsid w:val="1D9C2D67"/>
    <w:rsid w:val="1DAF458D"/>
    <w:rsid w:val="1DE34574"/>
    <w:rsid w:val="1F77716A"/>
    <w:rsid w:val="1F825A11"/>
    <w:rsid w:val="206034DD"/>
    <w:rsid w:val="20DF6845"/>
    <w:rsid w:val="233B4784"/>
    <w:rsid w:val="233E5923"/>
    <w:rsid w:val="236A6149"/>
    <w:rsid w:val="23B146B9"/>
    <w:rsid w:val="240038BA"/>
    <w:rsid w:val="240A65B7"/>
    <w:rsid w:val="263D5951"/>
    <w:rsid w:val="265E582C"/>
    <w:rsid w:val="26E147D1"/>
    <w:rsid w:val="27004B43"/>
    <w:rsid w:val="27B248A0"/>
    <w:rsid w:val="283F1644"/>
    <w:rsid w:val="287C6FB4"/>
    <w:rsid w:val="28B4796C"/>
    <w:rsid w:val="29770D57"/>
    <w:rsid w:val="29A000F0"/>
    <w:rsid w:val="29D21E13"/>
    <w:rsid w:val="2A053397"/>
    <w:rsid w:val="2A474A42"/>
    <w:rsid w:val="2AB554B8"/>
    <w:rsid w:val="2B0377CD"/>
    <w:rsid w:val="2B6B66AA"/>
    <w:rsid w:val="2BFE2EF0"/>
    <w:rsid w:val="2C1E18A5"/>
    <w:rsid w:val="2C604703"/>
    <w:rsid w:val="2D1136DF"/>
    <w:rsid w:val="2D2B5CBF"/>
    <w:rsid w:val="2D8C755C"/>
    <w:rsid w:val="2DA02D04"/>
    <w:rsid w:val="2DFD193C"/>
    <w:rsid w:val="2E9F6859"/>
    <w:rsid w:val="2EC544A9"/>
    <w:rsid w:val="2F0C26B1"/>
    <w:rsid w:val="2F116303"/>
    <w:rsid w:val="2FC614E6"/>
    <w:rsid w:val="30236790"/>
    <w:rsid w:val="30802486"/>
    <w:rsid w:val="31175173"/>
    <w:rsid w:val="314D12BC"/>
    <w:rsid w:val="316F250C"/>
    <w:rsid w:val="31BD13AC"/>
    <w:rsid w:val="31C63837"/>
    <w:rsid w:val="32082F98"/>
    <w:rsid w:val="32A6143E"/>
    <w:rsid w:val="336D09C0"/>
    <w:rsid w:val="354A37A9"/>
    <w:rsid w:val="36273CF4"/>
    <w:rsid w:val="36827C07"/>
    <w:rsid w:val="36AA5F52"/>
    <w:rsid w:val="36C058A7"/>
    <w:rsid w:val="36E000FD"/>
    <w:rsid w:val="374146AF"/>
    <w:rsid w:val="37D36EBD"/>
    <w:rsid w:val="399731E4"/>
    <w:rsid w:val="3ADE39A4"/>
    <w:rsid w:val="3AFB1A4C"/>
    <w:rsid w:val="3B610B0E"/>
    <w:rsid w:val="3BF672B3"/>
    <w:rsid w:val="3BF67B6E"/>
    <w:rsid w:val="3C530331"/>
    <w:rsid w:val="3CBB22B3"/>
    <w:rsid w:val="3CC7093B"/>
    <w:rsid w:val="3CC80DC0"/>
    <w:rsid w:val="3D1309DF"/>
    <w:rsid w:val="3D217D96"/>
    <w:rsid w:val="3D5275AC"/>
    <w:rsid w:val="3DED65A8"/>
    <w:rsid w:val="3DFE4E4B"/>
    <w:rsid w:val="3E160417"/>
    <w:rsid w:val="3E4F50AC"/>
    <w:rsid w:val="40161B73"/>
    <w:rsid w:val="4079165E"/>
    <w:rsid w:val="41AD1AA2"/>
    <w:rsid w:val="41B20E4F"/>
    <w:rsid w:val="41D31F00"/>
    <w:rsid w:val="42B76840"/>
    <w:rsid w:val="43316970"/>
    <w:rsid w:val="4421165A"/>
    <w:rsid w:val="44467526"/>
    <w:rsid w:val="44CF4655"/>
    <w:rsid w:val="45A87853"/>
    <w:rsid w:val="45AD0B65"/>
    <w:rsid w:val="46901EEE"/>
    <w:rsid w:val="469C74D2"/>
    <w:rsid w:val="46DC1114"/>
    <w:rsid w:val="46FA6D28"/>
    <w:rsid w:val="473F39FE"/>
    <w:rsid w:val="476D2E32"/>
    <w:rsid w:val="47801D21"/>
    <w:rsid w:val="47FF5A3B"/>
    <w:rsid w:val="48F9688C"/>
    <w:rsid w:val="490B0284"/>
    <w:rsid w:val="492D17D3"/>
    <w:rsid w:val="493A3870"/>
    <w:rsid w:val="4A1207ED"/>
    <w:rsid w:val="4A9D77CC"/>
    <w:rsid w:val="4AF5079B"/>
    <w:rsid w:val="4B345CA5"/>
    <w:rsid w:val="4B701753"/>
    <w:rsid w:val="4BEB2AE8"/>
    <w:rsid w:val="4C181618"/>
    <w:rsid w:val="4C6D3066"/>
    <w:rsid w:val="4CB3745D"/>
    <w:rsid w:val="4D391693"/>
    <w:rsid w:val="4DA93660"/>
    <w:rsid w:val="4DD406E5"/>
    <w:rsid w:val="4DF31F55"/>
    <w:rsid w:val="4E535897"/>
    <w:rsid w:val="4F195BC9"/>
    <w:rsid w:val="4F714843"/>
    <w:rsid w:val="4FCE528B"/>
    <w:rsid w:val="5004002B"/>
    <w:rsid w:val="500A528D"/>
    <w:rsid w:val="50D87915"/>
    <w:rsid w:val="50DB5F45"/>
    <w:rsid w:val="510B4945"/>
    <w:rsid w:val="511D7E14"/>
    <w:rsid w:val="51554269"/>
    <w:rsid w:val="516A2E8A"/>
    <w:rsid w:val="517134A1"/>
    <w:rsid w:val="51BB37A4"/>
    <w:rsid w:val="52163B23"/>
    <w:rsid w:val="523D322D"/>
    <w:rsid w:val="52C01CAC"/>
    <w:rsid w:val="530335BC"/>
    <w:rsid w:val="535F2703"/>
    <w:rsid w:val="549741F3"/>
    <w:rsid w:val="56146D24"/>
    <w:rsid w:val="56547F9B"/>
    <w:rsid w:val="568D63A8"/>
    <w:rsid w:val="569D71D3"/>
    <w:rsid w:val="570E289D"/>
    <w:rsid w:val="57211AEC"/>
    <w:rsid w:val="57AF4592"/>
    <w:rsid w:val="5813797A"/>
    <w:rsid w:val="58344842"/>
    <w:rsid w:val="588E1D40"/>
    <w:rsid w:val="58E4063C"/>
    <w:rsid w:val="58F356A0"/>
    <w:rsid w:val="58FB4926"/>
    <w:rsid w:val="5A8C5C64"/>
    <w:rsid w:val="5B0A3C7C"/>
    <w:rsid w:val="5C145D5F"/>
    <w:rsid w:val="5C8850C2"/>
    <w:rsid w:val="5DE43C4B"/>
    <w:rsid w:val="5E256662"/>
    <w:rsid w:val="5E8D0FF0"/>
    <w:rsid w:val="5EA92E5B"/>
    <w:rsid w:val="5F312B5A"/>
    <w:rsid w:val="5F3A544C"/>
    <w:rsid w:val="5F421F4F"/>
    <w:rsid w:val="5F932967"/>
    <w:rsid w:val="600C4334"/>
    <w:rsid w:val="607C007C"/>
    <w:rsid w:val="60EE637C"/>
    <w:rsid w:val="610F4386"/>
    <w:rsid w:val="610F76A0"/>
    <w:rsid w:val="613B2291"/>
    <w:rsid w:val="616F6C82"/>
    <w:rsid w:val="61C23CA5"/>
    <w:rsid w:val="625B5AF2"/>
    <w:rsid w:val="62A91F52"/>
    <w:rsid w:val="62B07C56"/>
    <w:rsid w:val="64350E40"/>
    <w:rsid w:val="64766BFD"/>
    <w:rsid w:val="647D0508"/>
    <w:rsid w:val="65302FF7"/>
    <w:rsid w:val="6537230D"/>
    <w:rsid w:val="656325C7"/>
    <w:rsid w:val="65BF2B26"/>
    <w:rsid w:val="65CF3090"/>
    <w:rsid w:val="65D57A52"/>
    <w:rsid w:val="668019BE"/>
    <w:rsid w:val="668147BE"/>
    <w:rsid w:val="66A71241"/>
    <w:rsid w:val="67CB7D39"/>
    <w:rsid w:val="69316E1A"/>
    <w:rsid w:val="69554902"/>
    <w:rsid w:val="69A94B4A"/>
    <w:rsid w:val="69AD798C"/>
    <w:rsid w:val="69C70FA3"/>
    <w:rsid w:val="69E5430E"/>
    <w:rsid w:val="6A197EE3"/>
    <w:rsid w:val="6A4F6540"/>
    <w:rsid w:val="6A733F65"/>
    <w:rsid w:val="6AAD748A"/>
    <w:rsid w:val="6B4F02DD"/>
    <w:rsid w:val="6B68175F"/>
    <w:rsid w:val="6B8E27EF"/>
    <w:rsid w:val="6C360AF8"/>
    <w:rsid w:val="6C6B3009"/>
    <w:rsid w:val="6C6B3214"/>
    <w:rsid w:val="6C747BB9"/>
    <w:rsid w:val="6D3D14C4"/>
    <w:rsid w:val="6DF26FFC"/>
    <w:rsid w:val="6E094282"/>
    <w:rsid w:val="6ED34999"/>
    <w:rsid w:val="6F29157B"/>
    <w:rsid w:val="6F531BF4"/>
    <w:rsid w:val="700F486D"/>
    <w:rsid w:val="701074C0"/>
    <w:rsid w:val="707F51EF"/>
    <w:rsid w:val="71833EC6"/>
    <w:rsid w:val="718D4E0D"/>
    <w:rsid w:val="71AE7AA3"/>
    <w:rsid w:val="71CA2249"/>
    <w:rsid w:val="721E4A5D"/>
    <w:rsid w:val="72EE56CB"/>
    <w:rsid w:val="73406D5B"/>
    <w:rsid w:val="738E33C3"/>
    <w:rsid w:val="73FB6630"/>
    <w:rsid w:val="750B5BF1"/>
    <w:rsid w:val="75B51FC0"/>
    <w:rsid w:val="75B60031"/>
    <w:rsid w:val="76DD091D"/>
    <w:rsid w:val="77466E92"/>
    <w:rsid w:val="774B26E2"/>
    <w:rsid w:val="77720CA8"/>
    <w:rsid w:val="77ED6F44"/>
    <w:rsid w:val="78224413"/>
    <w:rsid w:val="78FD1F20"/>
    <w:rsid w:val="79870A12"/>
    <w:rsid w:val="7A1C6325"/>
    <w:rsid w:val="7A7632AD"/>
    <w:rsid w:val="7AC8434A"/>
    <w:rsid w:val="7B3910B5"/>
    <w:rsid w:val="7B4C7884"/>
    <w:rsid w:val="7B902D83"/>
    <w:rsid w:val="7BAB7A6D"/>
    <w:rsid w:val="7D5B7B53"/>
    <w:rsid w:val="7D710817"/>
    <w:rsid w:val="7F8F3BEC"/>
    <w:rsid w:val="7FD64A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pacing w:before="104" w:after="104"/>
      <w:outlineLvl w:val="2"/>
    </w:pPr>
    <w:rPr>
      <w:rFonts w:eastAsia="黑体"/>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customStyle="1" w:styleId="11">
    <w:name w:val="WPSOffice手动目录 3"/>
    <w:qFormat/>
    <w:uiPriority w:val="0"/>
    <w:pPr>
      <w:ind w:leftChars="40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GXR</dc:creator>
  <cp:lastModifiedBy>Administrator</cp:lastModifiedBy>
  <dcterms:modified xsi:type="dcterms:W3CDTF">2021-09-07T05:34:28Z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58240A701613457BB24A0FE0F01EE863</vt:lpwstr>
  </property>
</Properties>
</file>